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9E2F" w14:textId="2381E93C" w:rsidR="003B3362" w:rsidRPr="00435B4D" w:rsidRDefault="003B3362" w:rsidP="003B3362">
      <w:pPr>
        <w:spacing w:after="0" w:line="240" w:lineRule="auto"/>
        <w:ind w:right="4"/>
        <w:jc w:val="center"/>
        <w:rPr>
          <w:rFonts w:ascii="Cambria" w:hAnsi="Cambria"/>
          <w:color w:val="000000" w:themeColor="text1"/>
          <w:lang w:val="es-US"/>
        </w:rPr>
      </w:pPr>
      <w:r w:rsidRPr="00435B4D">
        <w:rPr>
          <w:rFonts w:ascii="Cambria" w:hAnsi="Cambria"/>
          <w:b/>
          <w:color w:val="000000" w:themeColor="text1"/>
          <w:lang w:val="es-US"/>
        </w:rPr>
        <w:t>FICHA TÉCNICA INFORMATIVA</w:t>
      </w:r>
    </w:p>
    <w:p w14:paraId="260E5D46" w14:textId="0C5C997A" w:rsidR="003B3362" w:rsidRPr="00613D53" w:rsidRDefault="003B3362" w:rsidP="00336C5B">
      <w:pPr>
        <w:spacing w:after="0" w:line="240" w:lineRule="auto"/>
        <w:ind w:right="4"/>
        <w:jc w:val="center"/>
        <w:rPr>
          <w:rFonts w:ascii="Cambria" w:eastAsia="Batang" w:hAnsi="Cambria"/>
          <w:b/>
          <w:color w:val="000000" w:themeColor="text1"/>
          <w:lang w:val="pt-BR" w:eastAsia="es-ES_tradnl"/>
        </w:rPr>
      </w:pPr>
      <w:r w:rsidRPr="00613D53">
        <w:rPr>
          <w:rFonts w:ascii="Cambria" w:eastAsia="Batang" w:hAnsi="Cambria"/>
          <w:b/>
          <w:color w:val="000000" w:themeColor="text1"/>
          <w:lang w:val="es-US" w:eastAsia="es-ES_tradnl"/>
        </w:rPr>
        <w:t xml:space="preserve">CASO </w:t>
      </w:r>
      <w:r w:rsidR="00336C5B" w:rsidRPr="00613D53">
        <w:rPr>
          <w:rFonts w:ascii="Cambria" w:eastAsia="Batang" w:hAnsi="Cambria"/>
          <w:b/>
          <w:color w:val="000000" w:themeColor="text1"/>
          <w:lang w:val="es-US" w:eastAsia="es-ES_tradnl"/>
        </w:rPr>
        <w:t xml:space="preserve">11.426 </w:t>
      </w:r>
      <w:r w:rsidR="00336C5B" w:rsidRPr="00613D53">
        <w:rPr>
          <w:rFonts w:ascii="Cambria" w:eastAsia="Batang" w:hAnsi="Cambria"/>
          <w:b/>
          <w:color w:val="000000" w:themeColor="text1"/>
          <w:lang w:val="pt-BR" w:eastAsia="es-ES_tradnl"/>
        </w:rPr>
        <w:t xml:space="preserve">MARCELA ALEJANDRA PORCO </w:t>
      </w:r>
    </w:p>
    <w:p w14:paraId="101D0500" w14:textId="4DD64DFD" w:rsidR="003B3362" w:rsidRPr="00435B4D" w:rsidRDefault="003B3362" w:rsidP="003B3362">
      <w:pPr>
        <w:spacing w:after="0" w:line="240" w:lineRule="auto"/>
        <w:ind w:right="4"/>
        <w:jc w:val="center"/>
        <w:rPr>
          <w:rFonts w:ascii="Cambria" w:eastAsia="Batang" w:hAnsi="Cambria"/>
          <w:b/>
          <w:color w:val="000000" w:themeColor="text1"/>
          <w:lang w:val="es-CO" w:eastAsia="es-ES_tradnl"/>
        </w:rPr>
      </w:pPr>
      <w:r w:rsidRPr="00435B4D">
        <w:rPr>
          <w:rFonts w:ascii="Cambria" w:eastAsia="Batang" w:hAnsi="Cambria"/>
          <w:b/>
          <w:color w:val="000000" w:themeColor="text1"/>
          <w:lang w:val="es-CO"/>
        </w:rPr>
        <w:t xml:space="preserve">INFORME DE SOLUCIÓN AMISTOSA </w:t>
      </w:r>
      <w:r w:rsidRPr="00613D53">
        <w:rPr>
          <w:rFonts w:ascii="Cambria" w:eastAsia="Batang" w:hAnsi="Cambria"/>
          <w:b/>
          <w:color w:val="000000" w:themeColor="text1"/>
          <w:lang w:val="es-CO"/>
        </w:rPr>
        <w:t>No.</w:t>
      </w:r>
      <w:r w:rsidR="006157B8" w:rsidRPr="00435B4D">
        <w:rPr>
          <w:rFonts w:ascii="Cambria" w:eastAsia="Batang" w:hAnsi="Cambria"/>
          <w:b/>
          <w:color w:val="000000" w:themeColor="text1"/>
          <w:lang w:val="es-CO"/>
        </w:rPr>
        <w:t xml:space="preserve"> </w:t>
      </w:r>
      <w:hyperlink r:id="rId12" w:history="1">
        <w:r w:rsidR="00787286" w:rsidRPr="00613D53">
          <w:rPr>
            <w:rStyle w:val="Hyperlink"/>
            <w:rFonts w:ascii="Cambria" w:hAnsi="Cambria"/>
            <w:b/>
          </w:rPr>
          <w:t>270/23</w:t>
        </w:r>
      </w:hyperlink>
    </w:p>
    <w:p w14:paraId="445577D0" w14:textId="77777777" w:rsidR="003B3362" w:rsidRPr="00435B4D" w:rsidRDefault="003B3362" w:rsidP="003B3362">
      <w:pPr>
        <w:spacing w:after="0" w:line="240" w:lineRule="auto"/>
        <w:ind w:right="4"/>
        <w:jc w:val="center"/>
        <w:rPr>
          <w:rFonts w:ascii="Cambria" w:eastAsia="Batang" w:hAnsi="Cambria"/>
          <w:b/>
          <w:color w:val="000000" w:themeColor="text1"/>
          <w:lang w:val="es-CO"/>
        </w:rPr>
      </w:pPr>
      <w:r w:rsidRPr="00435B4D">
        <w:rPr>
          <w:rFonts w:ascii="Cambria" w:eastAsia="Batang" w:hAnsi="Cambria"/>
          <w:b/>
          <w:color w:val="000000" w:themeColor="text1"/>
          <w:lang w:val="es-CO"/>
        </w:rPr>
        <w:t>CUMPLIMIENTO TOTAL</w:t>
      </w:r>
    </w:p>
    <w:p w14:paraId="1DE243DA" w14:textId="5ACC95B9" w:rsidR="003B3362" w:rsidRPr="0009182C" w:rsidRDefault="003B3362" w:rsidP="003B3362">
      <w:pPr>
        <w:spacing w:after="0" w:line="240" w:lineRule="auto"/>
        <w:ind w:right="4"/>
        <w:jc w:val="center"/>
        <w:rPr>
          <w:rFonts w:ascii="Cambria" w:eastAsia="Batang" w:hAnsi="Cambria"/>
          <w:b/>
          <w:color w:val="000000" w:themeColor="text1"/>
          <w:lang w:val="es-CO"/>
        </w:rPr>
      </w:pPr>
      <w:r w:rsidRPr="00613D53">
        <w:rPr>
          <w:rFonts w:ascii="Cambria" w:eastAsia="Batang" w:hAnsi="Cambria"/>
          <w:b/>
          <w:color w:val="000000" w:themeColor="text1"/>
          <w:lang w:val="es-CO"/>
        </w:rPr>
        <w:t>(</w:t>
      </w:r>
      <w:r w:rsidR="000C6DA9" w:rsidRPr="00613D53">
        <w:rPr>
          <w:rFonts w:ascii="Cambria" w:eastAsia="Batang" w:hAnsi="Cambria"/>
          <w:b/>
          <w:color w:val="000000" w:themeColor="text1"/>
          <w:lang w:val="es-CO"/>
        </w:rPr>
        <w:t>BOLIVIA</w:t>
      </w:r>
      <w:r w:rsidRPr="00613D53">
        <w:rPr>
          <w:rFonts w:ascii="Cambria" w:eastAsia="Batang" w:hAnsi="Cambria"/>
          <w:b/>
          <w:color w:val="000000" w:themeColor="text1"/>
          <w:lang w:val="es-CO"/>
        </w:rPr>
        <w:t>)</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613D53" w14:paraId="78B6CDC5" w14:textId="77777777" w:rsidTr="00F024F0">
        <w:trPr>
          <w:trHeight w:val="4517"/>
        </w:trPr>
        <w:tc>
          <w:tcPr>
            <w:tcW w:w="9377" w:type="dxa"/>
            <w:shd w:val="clear" w:color="auto" w:fill="F2F2F2"/>
          </w:tcPr>
          <w:p w14:paraId="273B06C3" w14:textId="335897A1" w:rsidR="003B3362" w:rsidRPr="00613D53" w:rsidRDefault="003B3362" w:rsidP="00F024F0">
            <w:pPr>
              <w:spacing w:after="0" w:line="240" w:lineRule="auto"/>
              <w:jc w:val="both"/>
              <w:rPr>
                <w:rFonts w:ascii="Cambria" w:eastAsia="Batang" w:hAnsi="Cambria"/>
                <w:b/>
                <w:color w:val="080808"/>
                <w:sz w:val="20"/>
                <w:szCs w:val="20"/>
                <w:lang w:val="pt-BR"/>
              </w:rPr>
            </w:pPr>
            <w:r w:rsidRPr="00613D53">
              <w:rPr>
                <w:rFonts w:ascii="Cambria" w:eastAsia="Batang" w:hAnsi="Cambria"/>
                <w:b/>
                <w:color w:val="080808"/>
                <w:sz w:val="20"/>
                <w:szCs w:val="20"/>
                <w:lang w:val="pt-BR"/>
              </w:rPr>
              <w:t xml:space="preserve">Víctima (s): </w:t>
            </w:r>
            <w:r w:rsidR="000C6DA9" w:rsidRPr="00613D53">
              <w:rPr>
                <w:rFonts w:ascii="Cambria" w:eastAsia="Batang" w:hAnsi="Cambria"/>
                <w:bCs/>
                <w:color w:val="080808"/>
                <w:sz w:val="20"/>
                <w:szCs w:val="20"/>
                <w:lang w:val="pt-BR"/>
              </w:rPr>
              <w:t>Marcela Alejandra Porco</w:t>
            </w:r>
          </w:p>
          <w:p w14:paraId="1E7F3E0F" w14:textId="69732B6C" w:rsidR="003B3362" w:rsidRPr="00613D53" w:rsidRDefault="003B3362" w:rsidP="00F024F0">
            <w:pPr>
              <w:spacing w:after="0" w:line="240" w:lineRule="auto"/>
              <w:jc w:val="both"/>
              <w:rPr>
                <w:rFonts w:ascii="Cambria" w:eastAsia="Batang" w:hAnsi="Cambria"/>
                <w:b/>
                <w:color w:val="080808"/>
                <w:sz w:val="20"/>
                <w:szCs w:val="20"/>
                <w:lang w:val="es-CO"/>
              </w:rPr>
            </w:pPr>
            <w:r w:rsidRPr="00613D53">
              <w:rPr>
                <w:rFonts w:ascii="Cambria" w:eastAsia="Batang" w:hAnsi="Cambria"/>
                <w:b/>
                <w:color w:val="080808"/>
                <w:sz w:val="20"/>
                <w:szCs w:val="20"/>
                <w:lang w:val="es-CO"/>
              </w:rPr>
              <w:t xml:space="preserve">Peticionario (s): </w:t>
            </w:r>
            <w:r w:rsidR="000C6DA9" w:rsidRPr="00613D53">
              <w:rPr>
                <w:rFonts w:ascii="Cambria" w:eastAsia="Batang" w:hAnsi="Cambria"/>
                <w:color w:val="080808"/>
                <w:sz w:val="20"/>
                <w:szCs w:val="20"/>
                <w:lang w:val="es-CO"/>
              </w:rPr>
              <w:t>Servicio Paz y Justicia (SERPAJ), el Centro por la Justicia y el Derecho Internacional (CEJIL), la Asociación Justicialista de Abogados, Fernando Rizzi y Gaspar Porco</w:t>
            </w:r>
          </w:p>
          <w:p w14:paraId="127C896A" w14:textId="5FF36C01" w:rsidR="003B3362" w:rsidRPr="00613D53" w:rsidRDefault="003B3362" w:rsidP="00F024F0">
            <w:pPr>
              <w:spacing w:after="0" w:line="240" w:lineRule="auto"/>
              <w:jc w:val="both"/>
              <w:rPr>
                <w:rFonts w:ascii="Cambria" w:eastAsia="Batang" w:hAnsi="Cambria"/>
                <w:b/>
                <w:color w:val="080808"/>
                <w:sz w:val="20"/>
                <w:szCs w:val="20"/>
                <w:lang w:val="es-CO"/>
              </w:rPr>
            </w:pPr>
            <w:r w:rsidRPr="00613D53">
              <w:rPr>
                <w:rFonts w:ascii="Cambria" w:eastAsia="Batang" w:hAnsi="Cambria"/>
                <w:b/>
                <w:color w:val="080808"/>
                <w:sz w:val="20"/>
                <w:szCs w:val="20"/>
                <w:lang w:val="es-CO"/>
              </w:rPr>
              <w:t>Estado:</w:t>
            </w:r>
            <w:r w:rsidRPr="00613D53">
              <w:rPr>
                <w:rFonts w:ascii="Cambria" w:eastAsia="Batang" w:hAnsi="Cambria"/>
                <w:bCs/>
                <w:color w:val="080808"/>
                <w:sz w:val="20"/>
                <w:szCs w:val="20"/>
                <w:lang w:val="es-CO"/>
              </w:rPr>
              <w:t xml:space="preserve"> </w:t>
            </w:r>
            <w:r w:rsidR="000C6DA9" w:rsidRPr="00613D53">
              <w:rPr>
                <w:rFonts w:ascii="Cambria" w:eastAsia="Batang" w:hAnsi="Cambria"/>
                <w:bCs/>
                <w:color w:val="080808"/>
                <w:sz w:val="20"/>
                <w:szCs w:val="20"/>
                <w:lang w:val="es-CO"/>
              </w:rPr>
              <w:t>Bolivia</w:t>
            </w:r>
          </w:p>
          <w:p w14:paraId="4EB05151" w14:textId="53C2DC48" w:rsidR="003B3362" w:rsidRPr="00613D53" w:rsidRDefault="003B3362" w:rsidP="00F024F0">
            <w:pPr>
              <w:spacing w:after="0" w:line="240" w:lineRule="auto"/>
              <w:jc w:val="both"/>
              <w:rPr>
                <w:rFonts w:ascii="Cambria" w:eastAsia="Batang" w:hAnsi="Cambria"/>
                <w:b/>
                <w:color w:val="080808"/>
                <w:sz w:val="20"/>
                <w:szCs w:val="20"/>
                <w:lang w:val="es-CO"/>
              </w:rPr>
            </w:pPr>
            <w:r w:rsidRPr="00613D53">
              <w:rPr>
                <w:rFonts w:ascii="Cambria" w:eastAsia="Batang" w:hAnsi="Cambria"/>
                <w:b/>
                <w:bCs/>
                <w:color w:val="080808"/>
                <w:sz w:val="20"/>
                <w:szCs w:val="20"/>
                <w:lang w:val="es-CO"/>
              </w:rPr>
              <w:t xml:space="preserve">Fecha de inicio de las negociaciones: </w:t>
            </w:r>
            <w:r w:rsidR="000C6DA9" w:rsidRPr="00613D53">
              <w:rPr>
                <w:rFonts w:ascii="Cambria" w:eastAsia="Batang" w:hAnsi="Cambria"/>
                <w:color w:val="080808"/>
                <w:sz w:val="20"/>
                <w:szCs w:val="20"/>
                <w:lang w:val="es-CO"/>
              </w:rPr>
              <w:t>1 de mayo de 2009</w:t>
            </w:r>
          </w:p>
          <w:p w14:paraId="5D2C77E6" w14:textId="66C750AE" w:rsidR="003B3362" w:rsidRPr="00613D53" w:rsidRDefault="003B3362" w:rsidP="00F024F0">
            <w:pPr>
              <w:spacing w:after="0" w:line="240" w:lineRule="auto"/>
              <w:jc w:val="both"/>
              <w:rPr>
                <w:rFonts w:ascii="Cambria" w:eastAsia="Batang" w:hAnsi="Cambria"/>
                <w:bCs/>
                <w:color w:val="080808"/>
                <w:sz w:val="20"/>
                <w:szCs w:val="20"/>
                <w:lang w:val="es-CO"/>
              </w:rPr>
            </w:pPr>
            <w:r w:rsidRPr="00613D53">
              <w:rPr>
                <w:rFonts w:ascii="Cambria" w:eastAsia="Batang" w:hAnsi="Cambria"/>
                <w:b/>
                <w:bCs/>
                <w:color w:val="080808"/>
                <w:sz w:val="20"/>
                <w:szCs w:val="20"/>
                <w:lang w:val="es-CO"/>
              </w:rPr>
              <w:t xml:space="preserve">Fecha de Firma de ASA: </w:t>
            </w:r>
            <w:r w:rsidR="000C6DA9" w:rsidRPr="00613D53">
              <w:rPr>
                <w:rFonts w:ascii="Cambria" w:eastAsia="Batang" w:hAnsi="Cambria"/>
                <w:color w:val="080808"/>
                <w:sz w:val="20"/>
                <w:szCs w:val="20"/>
                <w:lang w:val="es-CO"/>
              </w:rPr>
              <w:t>30 de mayo de 2022</w:t>
            </w:r>
          </w:p>
          <w:p w14:paraId="59D22998" w14:textId="5512A017" w:rsidR="00F8544E" w:rsidRPr="00613D53" w:rsidRDefault="00F8544E" w:rsidP="00F024F0">
            <w:pPr>
              <w:spacing w:after="0" w:line="240" w:lineRule="auto"/>
              <w:jc w:val="both"/>
              <w:rPr>
                <w:rFonts w:ascii="Cambria" w:eastAsia="Batang" w:hAnsi="Cambria"/>
                <w:b/>
                <w:color w:val="080808"/>
                <w:sz w:val="20"/>
                <w:szCs w:val="20"/>
                <w:lang w:val="es-CO"/>
              </w:rPr>
            </w:pPr>
            <w:r w:rsidRPr="00613D53">
              <w:rPr>
                <w:rFonts w:ascii="Cambria" w:eastAsia="Batang" w:hAnsi="Cambria"/>
                <w:b/>
                <w:bCs/>
                <w:color w:val="080808"/>
                <w:sz w:val="20"/>
                <w:szCs w:val="20"/>
                <w:lang w:val="es-CO"/>
              </w:rPr>
              <w:t>Informe de Admisibilidad</w:t>
            </w:r>
            <w:r w:rsidRPr="00613D53">
              <w:rPr>
                <w:rFonts w:ascii="Cambria" w:eastAsia="Batang" w:hAnsi="Cambria"/>
                <w:color w:val="080808"/>
                <w:sz w:val="20"/>
                <w:szCs w:val="20"/>
                <w:lang w:val="es-CO"/>
              </w:rPr>
              <w:t xml:space="preserve"> </w:t>
            </w:r>
            <w:r w:rsidRPr="00613D53">
              <w:rPr>
                <w:rFonts w:ascii="Cambria" w:eastAsia="Batang" w:hAnsi="Cambria"/>
                <w:b/>
                <w:color w:val="080808"/>
                <w:sz w:val="20"/>
                <w:szCs w:val="20"/>
                <w:lang w:val="es-CO"/>
              </w:rPr>
              <w:t>N</w:t>
            </w:r>
            <w:r w:rsidRPr="00613D53">
              <w:rPr>
                <w:rFonts w:ascii="Cambria" w:eastAsia="Batang" w:hAnsi="Cambria"/>
                <w:b/>
                <w:sz w:val="20"/>
                <w:szCs w:val="20"/>
                <w:lang w:val="es-CO"/>
              </w:rPr>
              <w:t>º:</w:t>
            </w:r>
            <w:r w:rsidR="00CB0CA0" w:rsidRPr="00613D53">
              <w:rPr>
                <w:rFonts w:ascii="Cambria" w:eastAsia="Batang" w:hAnsi="Cambria"/>
                <w:b/>
                <w:sz w:val="20"/>
                <w:szCs w:val="20"/>
                <w:lang w:val="es-CO"/>
              </w:rPr>
              <w:t xml:space="preserve"> </w:t>
            </w:r>
            <w:hyperlink r:id="rId13" w:history="1">
              <w:r w:rsidR="000C6DA9" w:rsidRPr="00613D53">
                <w:rPr>
                  <w:rStyle w:val="Hyperlink"/>
                  <w:rFonts w:ascii="Cambria" w:eastAsia="Batang" w:hAnsi="Cambria"/>
                  <w:bCs/>
                  <w:sz w:val="20"/>
                  <w:szCs w:val="20"/>
                  <w:lang w:val="es-ES"/>
                </w:rPr>
                <w:t>8/08,</w:t>
              </w:r>
            </w:hyperlink>
            <w:r w:rsidR="000C6DA9" w:rsidRPr="00613D53">
              <w:rPr>
                <w:rFonts w:ascii="Cambria" w:eastAsia="Batang" w:hAnsi="Cambria"/>
                <w:bCs/>
                <w:sz w:val="20"/>
                <w:szCs w:val="20"/>
                <w:lang w:val="es-ES"/>
              </w:rPr>
              <w:t xml:space="preserve"> publicado el 4 de marzo de 2008</w:t>
            </w:r>
          </w:p>
          <w:p w14:paraId="0E00ACD7" w14:textId="4BD4CD06" w:rsidR="003B3362" w:rsidRPr="00613D53" w:rsidRDefault="003B3362" w:rsidP="000C6DA9">
            <w:pPr>
              <w:tabs>
                <w:tab w:val="left" w:pos="5327"/>
              </w:tabs>
              <w:spacing w:after="0" w:line="240" w:lineRule="auto"/>
              <w:jc w:val="both"/>
              <w:rPr>
                <w:rFonts w:ascii="Cambria" w:eastAsia="Batang" w:hAnsi="Cambria"/>
                <w:b/>
                <w:color w:val="080808"/>
                <w:sz w:val="20"/>
                <w:szCs w:val="20"/>
                <w:lang w:val="es-CO"/>
              </w:rPr>
            </w:pPr>
            <w:r w:rsidRPr="00613D53">
              <w:rPr>
                <w:rFonts w:ascii="Cambria" w:eastAsia="Batang" w:hAnsi="Cambria"/>
                <w:b/>
                <w:color w:val="080808"/>
                <w:sz w:val="20"/>
                <w:szCs w:val="20"/>
                <w:lang w:val="es-CO"/>
              </w:rPr>
              <w:t>Informe de Acuerdo de Solución Amistosa Nº</w:t>
            </w:r>
            <w:r w:rsidRPr="00613D53">
              <w:rPr>
                <w:rFonts w:ascii="Cambria" w:eastAsia="Batang" w:hAnsi="Cambria"/>
                <w:b/>
                <w:color w:val="000000" w:themeColor="text1"/>
                <w:sz w:val="20"/>
                <w:szCs w:val="20"/>
                <w:lang w:val="es-CO"/>
              </w:rPr>
              <w:t>:</w:t>
            </w:r>
            <w:hyperlink r:id="rId14" w:history="1">
              <w:r w:rsidR="000C6DA9" w:rsidRPr="00613D53">
                <w:rPr>
                  <w:rStyle w:val="Hyperlink"/>
                  <w:rFonts w:ascii="Cambria" w:eastAsia="Batang" w:hAnsi="Cambria"/>
                  <w:bCs/>
                  <w:sz w:val="20"/>
                  <w:szCs w:val="20"/>
                  <w:u w:val="none"/>
                  <w:lang w:val="es-CO"/>
                </w:rPr>
                <w:t xml:space="preserve"> 270/23</w:t>
              </w:r>
            </w:hyperlink>
            <w:r w:rsidR="000C6DA9" w:rsidRPr="00613D53">
              <w:rPr>
                <w:rFonts w:ascii="Cambria" w:eastAsia="Batang" w:hAnsi="Cambria"/>
                <w:bCs/>
                <w:color w:val="000000" w:themeColor="text1"/>
                <w:sz w:val="20"/>
                <w:szCs w:val="20"/>
                <w:lang w:val="es-CO"/>
              </w:rPr>
              <w:t xml:space="preserve"> publicado el 30 de noviembre de 2023</w:t>
            </w:r>
          </w:p>
          <w:p w14:paraId="4AF3785D" w14:textId="388737A2" w:rsidR="003B3362" w:rsidRPr="00613D53" w:rsidRDefault="003B3362" w:rsidP="00F024F0">
            <w:pPr>
              <w:spacing w:after="0" w:line="240" w:lineRule="auto"/>
              <w:jc w:val="both"/>
              <w:rPr>
                <w:rFonts w:ascii="Cambria" w:eastAsia="Batang" w:hAnsi="Cambria"/>
                <w:b/>
                <w:bCs/>
                <w:color w:val="080808"/>
                <w:sz w:val="20"/>
                <w:szCs w:val="20"/>
                <w:lang w:val="es-CO"/>
              </w:rPr>
            </w:pPr>
            <w:r w:rsidRPr="00613D53">
              <w:rPr>
                <w:rFonts w:ascii="Cambria" w:eastAsia="Batang" w:hAnsi="Cambria"/>
                <w:b/>
                <w:bCs/>
                <w:color w:val="080808"/>
                <w:sz w:val="20"/>
                <w:szCs w:val="20"/>
                <w:lang w:val="es-CO"/>
              </w:rPr>
              <w:t xml:space="preserve">Duración estimada de la fase de negociación: </w:t>
            </w:r>
            <w:r w:rsidR="000C6DA9" w:rsidRPr="00613D53">
              <w:rPr>
                <w:rFonts w:ascii="Cambria" w:eastAsia="Batang" w:hAnsi="Cambria"/>
                <w:color w:val="080808"/>
                <w:sz w:val="20"/>
                <w:szCs w:val="20"/>
                <w:lang w:val="es-CO"/>
              </w:rPr>
              <w:t>14 años y 6 meses</w:t>
            </w:r>
          </w:p>
          <w:p w14:paraId="795D73D4" w14:textId="37815DA8" w:rsidR="003B3362" w:rsidRPr="00613D53" w:rsidRDefault="003B3362" w:rsidP="00F024F0">
            <w:pPr>
              <w:spacing w:after="0" w:line="240" w:lineRule="auto"/>
              <w:jc w:val="both"/>
              <w:rPr>
                <w:rFonts w:ascii="Cambria" w:eastAsia="Batang" w:hAnsi="Cambria"/>
                <w:b/>
                <w:color w:val="080808"/>
                <w:sz w:val="20"/>
                <w:szCs w:val="20"/>
                <w:lang w:val="es-CO"/>
              </w:rPr>
            </w:pPr>
            <w:r w:rsidRPr="00613D53">
              <w:rPr>
                <w:rFonts w:ascii="Cambria" w:eastAsia="Batang" w:hAnsi="Cambria"/>
                <w:b/>
                <w:color w:val="080808"/>
                <w:sz w:val="20"/>
                <w:szCs w:val="20"/>
                <w:lang w:val="es-CO"/>
              </w:rPr>
              <w:t>Relatoría vinculada:</w:t>
            </w:r>
            <w:r w:rsidRPr="00613D53">
              <w:rPr>
                <w:rFonts w:ascii="Cambria" w:eastAsia="Batang" w:hAnsi="Cambria"/>
                <w:b/>
                <w:bCs/>
                <w:color w:val="080808"/>
                <w:sz w:val="20"/>
                <w:szCs w:val="20"/>
                <w:lang w:val="es-CO"/>
              </w:rPr>
              <w:t xml:space="preserve"> </w:t>
            </w:r>
            <w:r w:rsidR="000C6DA9" w:rsidRPr="00613D53">
              <w:rPr>
                <w:rFonts w:ascii="Cambria" w:eastAsia="Batang" w:hAnsi="Cambria"/>
                <w:color w:val="080808"/>
                <w:sz w:val="20"/>
                <w:szCs w:val="20"/>
                <w:lang w:val="es-CO"/>
              </w:rPr>
              <w:t>Derechos de las Mujeres, Personas con discapacidad</w:t>
            </w:r>
          </w:p>
          <w:p w14:paraId="11318960" w14:textId="69BB3147" w:rsidR="003B3362" w:rsidRPr="00613D53" w:rsidRDefault="003B3362" w:rsidP="00F024F0">
            <w:pPr>
              <w:spacing w:after="0" w:line="240" w:lineRule="auto"/>
              <w:jc w:val="both"/>
              <w:rPr>
                <w:rFonts w:ascii="Cambria" w:eastAsia="Batang" w:hAnsi="Cambria"/>
                <w:b/>
                <w:bCs/>
                <w:color w:val="080808"/>
                <w:sz w:val="20"/>
                <w:szCs w:val="20"/>
                <w:lang w:val="es-CO"/>
              </w:rPr>
            </w:pPr>
            <w:r w:rsidRPr="00613D53">
              <w:rPr>
                <w:rFonts w:ascii="Cambria" w:eastAsia="Batang" w:hAnsi="Cambria"/>
                <w:b/>
                <w:color w:val="080808"/>
                <w:sz w:val="20"/>
                <w:szCs w:val="20"/>
                <w:lang w:val="es-CO"/>
              </w:rPr>
              <w:t xml:space="preserve">Temas: </w:t>
            </w:r>
            <w:r w:rsidR="000C6DA9" w:rsidRPr="00613D53">
              <w:rPr>
                <w:rFonts w:ascii="Cambria" w:eastAsia="Batang" w:hAnsi="Cambria"/>
                <w:color w:val="080808"/>
                <w:sz w:val="20"/>
                <w:szCs w:val="20"/>
                <w:lang w:val="es-CO"/>
              </w:rPr>
              <w:t>Derecho a la Indemnización/ Derecho de Circulación y de Residencia/ Garantías Judiciales/ Igualdad y No Discriminación/ Protección Judicial</w:t>
            </w:r>
          </w:p>
          <w:p w14:paraId="346FD702" w14:textId="77777777" w:rsidR="003B3362" w:rsidRPr="00613D53" w:rsidRDefault="003B3362" w:rsidP="00F024F0">
            <w:pPr>
              <w:spacing w:after="0" w:line="240" w:lineRule="auto"/>
              <w:jc w:val="both"/>
              <w:rPr>
                <w:rFonts w:ascii="Cambria" w:eastAsia="Batang" w:hAnsi="Cambria"/>
                <w:b/>
                <w:bCs/>
                <w:color w:val="080808"/>
                <w:sz w:val="20"/>
                <w:szCs w:val="20"/>
                <w:lang w:val="es-CO"/>
              </w:rPr>
            </w:pPr>
          </w:p>
          <w:p w14:paraId="04CB3AE2" w14:textId="21C42B20" w:rsidR="003B3362" w:rsidRPr="00613D53" w:rsidRDefault="003B3362" w:rsidP="00F024F0">
            <w:pPr>
              <w:spacing w:after="0" w:line="240" w:lineRule="auto"/>
              <w:jc w:val="both"/>
              <w:rPr>
                <w:rFonts w:ascii="Cambria" w:eastAsia="Batang" w:hAnsi="Cambria"/>
                <w:bCs/>
                <w:color w:val="080808"/>
                <w:sz w:val="20"/>
                <w:szCs w:val="20"/>
                <w:lang w:val="es-CO"/>
              </w:rPr>
            </w:pPr>
            <w:r w:rsidRPr="00613D53">
              <w:rPr>
                <w:rFonts w:ascii="Cambria" w:eastAsia="Batang" w:hAnsi="Cambria"/>
                <w:b/>
                <w:color w:val="080808"/>
                <w:sz w:val="20"/>
                <w:szCs w:val="20"/>
                <w:lang w:val="es-CO"/>
              </w:rPr>
              <w:t xml:space="preserve">Hechos: </w:t>
            </w:r>
            <w:r w:rsidR="000C6DA9" w:rsidRPr="00613D53">
              <w:rPr>
                <w:rFonts w:ascii="Cambria" w:eastAsia="Batang" w:hAnsi="Cambria"/>
                <w:bCs/>
                <w:color w:val="080808"/>
                <w:sz w:val="20"/>
                <w:szCs w:val="20"/>
                <w:lang w:val="es-CO"/>
              </w:rPr>
              <w:t>El 30 de diciembre de 1994, la Comisión Interamericana de Derechos Humanos  recibió una petición presentada por la organización Servicio Paz y Justicia (SERPAJ), el Centro por la Justicia y el Derecho Internacional (CEJIL), la Asociación Justicialista de Abogados, Fernando Rizzi y Gaspar, en la que se alegaba la responsabilidad internacional del Estado Plurinacional de Bolivia por la presunta violación de los derechos humanos en perjuicio de Marcela Alejandra Porco , ciudadana argentina, de 25 años de edad en ese entonces, quien habría sido recluida en una cárcel mujeres a pesar de padecer una enfermedad mental; durante su reclusión habría sido víctima de torturas, tratos inhumanos y degradantes, y violencia sexual. Asimismo, la parte peticionaria denunció que se habrían presentado presuntas irregularidades en el proceso penal seguido en contra de Marcela Alejandra Porco.</w:t>
            </w:r>
          </w:p>
          <w:p w14:paraId="128FF103" w14:textId="77777777" w:rsidR="000C6DA9" w:rsidRPr="00613D53" w:rsidRDefault="000C6DA9" w:rsidP="00F024F0">
            <w:pPr>
              <w:spacing w:after="0" w:line="240" w:lineRule="auto"/>
              <w:jc w:val="both"/>
              <w:rPr>
                <w:rFonts w:ascii="Cambria" w:eastAsia="Batang" w:hAnsi="Cambria"/>
                <w:b/>
                <w:color w:val="080808"/>
                <w:sz w:val="20"/>
                <w:szCs w:val="20"/>
                <w:lang w:val="es-CO"/>
              </w:rPr>
            </w:pPr>
          </w:p>
          <w:p w14:paraId="039EA89A" w14:textId="7A1B90A4" w:rsidR="000F6AC8" w:rsidRPr="00613D53" w:rsidRDefault="003B3362" w:rsidP="00F024F0">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613D53">
              <w:rPr>
                <w:rFonts w:ascii="Cambria" w:eastAsia="Batang" w:hAnsi="Cambria"/>
                <w:b/>
                <w:color w:val="080808"/>
                <w:sz w:val="20"/>
                <w:szCs w:val="20"/>
                <w:lang w:val="es-CO"/>
              </w:rPr>
              <w:t xml:space="preserve">Derechos declarados admisibles/ Derechos alegados: </w:t>
            </w:r>
            <w:r w:rsidR="000C6DA9" w:rsidRPr="00613D53">
              <w:rPr>
                <w:rFonts w:ascii="Cambria" w:eastAsia="Batang" w:hAnsi="Cambria"/>
                <w:bCs/>
                <w:color w:val="080808"/>
                <w:sz w:val="20"/>
                <w:szCs w:val="20"/>
                <w:lang w:val="es-CO"/>
              </w:rPr>
              <w:t>El 4 de marzo de 2008, durante el 131º Periodo Ordinario de Sesiones, la CIDH adoptó el Informe de Admisibilidad No. 8/08 y declaró admisible la petición respecto de la presunta violación de los derechos consagrados en los artículos 5.1 (integridad personal), 7 (libertad personal), 8.1 (garantías judiciales), 11.1 (protección a la honra y dignidad) y 25 (garantías de protección judicial) de la Convención Americana en relación con los artículos 1.1. y 2 de dicho instrumento.</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Pr="0009182C"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4140C440" w14:textId="77777777" w:rsidR="003B3362" w:rsidRPr="0009182C" w:rsidRDefault="003B3362" w:rsidP="003B3362">
      <w:pPr>
        <w:spacing w:after="0" w:line="240" w:lineRule="auto"/>
        <w:jc w:val="both"/>
        <w:rPr>
          <w:rFonts w:ascii="Cambria" w:hAnsi="Cambria"/>
          <w:color w:val="080808"/>
          <w:lang w:val="es-CO"/>
        </w:rPr>
      </w:pPr>
    </w:p>
    <w:p w14:paraId="78B7E7EA" w14:textId="5AFC55A4" w:rsidR="00435B4D" w:rsidRPr="00613D53" w:rsidRDefault="00435B4D" w:rsidP="00613D53">
      <w:pPr>
        <w:pStyle w:val="ListParagraph"/>
        <w:numPr>
          <w:ilvl w:val="0"/>
          <w:numId w:val="38"/>
        </w:numPr>
        <w:ind w:left="0" w:firstLine="720"/>
        <w:rPr>
          <w:rFonts w:ascii="Cambria" w:eastAsia="Batang" w:hAnsi="Cambria" w:cs="Calibri Light"/>
          <w:bCs/>
          <w:color w:val="080808"/>
          <w:sz w:val="20"/>
          <w:szCs w:val="20"/>
          <w:lang w:val="es-CO"/>
        </w:rPr>
      </w:pPr>
      <w:r w:rsidRPr="00613D53">
        <w:rPr>
          <w:rFonts w:ascii="Cambria" w:eastAsia="Batang" w:hAnsi="Cambria" w:cs="Calibri Light"/>
          <w:bCs/>
          <w:color w:val="080808"/>
          <w:sz w:val="20"/>
          <w:szCs w:val="20"/>
          <w:lang w:val="es-CO"/>
        </w:rPr>
        <w:t>El 30 de mayo de 2022, las partes firmaron un acuerdo de solución amistosa.</w:t>
      </w:r>
    </w:p>
    <w:p w14:paraId="7BF4B53E" w14:textId="3506C588" w:rsidR="005F3AD4" w:rsidRPr="00C87F91" w:rsidRDefault="00435B4D" w:rsidP="005F3AD4">
      <w:pPr>
        <w:numPr>
          <w:ilvl w:val="0"/>
          <w:numId w:val="38"/>
        </w:numPr>
        <w:spacing w:after="0" w:line="240" w:lineRule="auto"/>
        <w:ind w:left="0" w:firstLine="709"/>
        <w:jc w:val="both"/>
        <w:rPr>
          <w:rFonts w:ascii="Cambria" w:eastAsia="Batang" w:hAnsi="Cambria" w:cs="Calibri Light"/>
          <w:color w:val="080808"/>
          <w:sz w:val="20"/>
          <w:szCs w:val="20"/>
          <w:lang w:val="es-CO"/>
        </w:rPr>
      </w:pPr>
      <w:r w:rsidRPr="00613D53">
        <w:rPr>
          <w:rFonts w:ascii="Cambria" w:eastAsia="Batang" w:hAnsi="Cambria"/>
          <w:bCs/>
          <w:color w:val="080808"/>
          <w:sz w:val="20"/>
          <w:szCs w:val="20"/>
          <w:lang w:val="es-ES_tradnl"/>
        </w:rPr>
        <w:t xml:space="preserve">El 30 de noviembre de 2023, </w:t>
      </w:r>
      <w:r w:rsidRPr="00613D53">
        <w:rPr>
          <w:rFonts w:ascii="Cambria" w:eastAsia="Batang" w:hAnsi="Cambria"/>
          <w:bCs/>
          <w:color w:val="080808"/>
          <w:sz w:val="20"/>
          <w:szCs w:val="20"/>
          <w:lang w:val="es-CO"/>
        </w:rPr>
        <w:t>l</w:t>
      </w:r>
      <w:r w:rsidR="000C6DA9" w:rsidRPr="00613D53">
        <w:rPr>
          <w:rFonts w:ascii="Cambria" w:eastAsia="Batang" w:hAnsi="Cambria"/>
          <w:bCs/>
          <w:color w:val="080808"/>
          <w:sz w:val="20"/>
          <w:szCs w:val="20"/>
          <w:lang w:val="es-CO"/>
        </w:rPr>
        <w:t xml:space="preserve">a </w:t>
      </w:r>
      <w:r w:rsidR="000C6DA9" w:rsidRPr="00613D53">
        <w:rPr>
          <w:rFonts w:ascii="Cambria" w:eastAsia="Batang" w:hAnsi="Cambria"/>
          <w:bCs/>
          <w:color w:val="080808"/>
          <w:sz w:val="20"/>
          <w:szCs w:val="20"/>
          <w:lang w:val="es-ES_tradnl"/>
        </w:rPr>
        <w:t xml:space="preserve">CIDH publicó el informe de homologación </w:t>
      </w:r>
      <w:bookmarkStart w:id="0" w:name="_Hlk165479514"/>
      <w:r w:rsidRPr="00435B4D">
        <w:rPr>
          <w:rFonts w:ascii="Cambria" w:eastAsia="Batang" w:hAnsi="Cambria"/>
          <w:bCs/>
          <w:color w:val="080808"/>
          <w:sz w:val="20"/>
          <w:szCs w:val="20"/>
          <w:lang w:val="es-ES_tradnl"/>
        </w:rPr>
        <w:t>N.º</w:t>
      </w:r>
      <w:r w:rsidRPr="00613D53">
        <w:rPr>
          <w:rFonts w:ascii="Cambria" w:eastAsia="Batang" w:hAnsi="Cambria"/>
          <w:bCs/>
          <w:color w:val="080808"/>
          <w:sz w:val="20"/>
          <w:szCs w:val="20"/>
          <w:lang w:val="es-ES_tradnl"/>
        </w:rPr>
        <w:t xml:space="preserve"> 270/23</w:t>
      </w:r>
      <w:bookmarkEnd w:id="0"/>
      <w:r w:rsidR="005F3AD4">
        <w:rPr>
          <w:rFonts w:ascii="Cambria" w:eastAsia="Batang" w:hAnsi="Cambria"/>
          <w:bCs/>
          <w:color w:val="080808"/>
          <w:sz w:val="20"/>
          <w:szCs w:val="20"/>
          <w:lang w:val="es-ES_tradnl"/>
        </w:rPr>
        <w:t xml:space="preserve">, </w:t>
      </w:r>
      <w:r w:rsidR="005F3AD4" w:rsidRPr="00C87F91">
        <w:rPr>
          <w:rFonts w:ascii="Cambria" w:hAnsi="Cambria"/>
          <w:sz w:val="20"/>
          <w:szCs w:val="20"/>
          <w:lang w:val="es-AR"/>
        </w:rPr>
        <w:t>dando cuenta del cumplimiento total del acuerdo de solución amistosa y consecuentemente disp</w:t>
      </w:r>
      <w:r w:rsidR="005F3AD4">
        <w:rPr>
          <w:rFonts w:ascii="Cambria" w:hAnsi="Cambria"/>
          <w:sz w:val="20"/>
          <w:szCs w:val="20"/>
          <w:lang w:val="es-AR"/>
        </w:rPr>
        <w:t>oniendo</w:t>
      </w:r>
      <w:r w:rsidR="005F3AD4" w:rsidRPr="00C87F91">
        <w:rPr>
          <w:rFonts w:ascii="Cambria" w:hAnsi="Cambria"/>
          <w:sz w:val="20"/>
          <w:szCs w:val="20"/>
          <w:lang w:val="es-AR"/>
        </w:rPr>
        <w:t xml:space="preserve"> el cese de su supervisión y cierre del caso.</w:t>
      </w:r>
    </w:p>
    <w:p w14:paraId="1A651A51" w14:textId="001430ED" w:rsidR="003B3362" w:rsidRPr="0009182C" w:rsidRDefault="000C6DA9" w:rsidP="00613D53">
      <w:pPr>
        <w:spacing w:after="0" w:line="240" w:lineRule="auto"/>
        <w:ind w:left="709"/>
        <w:jc w:val="both"/>
        <w:rPr>
          <w:rFonts w:ascii="Cambria" w:eastAsia="Batang" w:hAnsi="Cambria" w:cs="Calibri Light"/>
          <w:b/>
          <w:color w:val="080808"/>
          <w:lang w:val="es-CO"/>
        </w:rPr>
        <w:sectPr w:rsidR="003B3362" w:rsidRPr="0009182C" w:rsidSect="00D535FE">
          <w:head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rsidRPr="00613D53">
        <w:rPr>
          <w:rFonts w:ascii="Cambria" w:eastAsia="Batang" w:hAnsi="Cambria"/>
          <w:bCs/>
          <w:color w:val="080808"/>
          <w:sz w:val="20"/>
          <w:szCs w:val="20"/>
          <w:lang w:val="es-ES_tradnl"/>
        </w:rPr>
        <w:t xml:space="preserve"> </w:t>
      </w:r>
    </w:p>
    <w:p w14:paraId="33AF502C"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435B4D" w14:paraId="14155F16" w14:textId="77777777" w:rsidTr="00725E33">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613D53" w:rsidRDefault="003B3362" w:rsidP="00F024F0">
            <w:pPr>
              <w:tabs>
                <w:tab w:val="center" w:pos="2049"/>
              </w:tabs>
              <w:spacing w:after="0" w:line="240" w:lineRule="auto"/>
              <w:jc w:val="center"/>
              <w:rPr>
                <w:rFonts w:ascii="Cambria" w:eastAsia="Batang" w:hAnsi="Cambria"/>
                <w:b/>
                <w:color w:val="080808"/>
                <w:sz w:val="20"/>
                <w:szCs w:val="20"/>
                <w:lang w:val="es-CO"/>
              </w:rPr>
            </w:pPr>
            <w:r w:rsidRPr="00613D53">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613D53" w:rsidRDefault="003B3362" w:rsidP="00F024F0">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80808"/>
                <w:sz w:val="20"/>
                <w:szCs w:val="20"/>
                <w:lang w:val="es-CO"/>
              </w:rPr>
              <w:t>Estado de Cumplimiento</w:t>
            </w:r>
          </w:p>
        </w:tc>
      </w:tr>
      <w:tr w:rsidR="002E7C4D" w:rsidRPr="00435B4D" w14:paraId="591D168B" w14:textId="77777777" w:rsidTr="00725E33">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3D81FDF4" w14:textId="70DFF5F0" w:rsidR="002E7C4D" w:rsidRPr="00613D53" w:rsidRDefault="002E7C4D" w:rsidP="002E7C4D">
            <w:pPr>
              <w:pStyle w:val="ListParagraph"/>
              <w:numPr>
                <w:ilvl w:val="0"/>
                <w:numId w:val="43"/>
              </w:numPr>
              <w:spacing w:after="0" w:line="240" w:lineRule="auto"/>
              <w:ind w:left="734" w:hanging="567"/>
              <w:jc w:val="both"/>
              <w:rPr>
                <w:rFonts w:ascii="Cambria" w:eastAsia="Times New Roman" w:hAnsi="Cambria"/>
                <w:color w:val="080808"/>
                <w:sz w:val="20"/>
                <w:szCs w:val="20"/>
                <w:lang w:val="es-CO"/>
              </w:rPr>
            </w:pPr>
            <w:r w:rsidRPr="00613D53">
              <w:rPr>
                <w:rFonts w:ascii="Cambria" w:eastAsia="Batang" w:hAnsi="Cambria" w:cs="Calibri Light"/>
                <w:b/>
                <w:bCs/>
                <w:color w:val="000000"/>
                <w:sz w:val="20"/>
                <w:szCs w:val="20"/>
                <w:lang w:val="es-ES_tradnl"/>
              </w:rPr>
              <w:t>ANTECEDENTES DEL ACUERDO DE SOLUCIÓN AMISTOSA</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77777777" w:rsidR="002E7C4D" w:rsidRPr="00613D53" w:rsidRDefault="002E7C4D" w:rsidP="002E7C4D">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00000"/>
                <w:sz w:val="20"/>
                <w:szCs w:val="20"/>
                <w:lang w:val="es-CO" w:eastAsia="es-ES_tradnl"/>
              </w:rPr>
              <w:t>Cláusula Declarativa</w:t>
            </w:r>
          </w:p>
        </w:tc>
      </w:tr>
      <w:tr w:rsidR="002E7C4D" w:rsidRPr="00435B4D" w14:paraId="43178BB7" w14:textId="77777777" w:rsidTr="00725E33">
        <w:trPr>
          <w:trHeight w:val="498"/>
          <w:jc w:val="center"/>
        </w:trPr>
        <w:tc>
          <w:tcPr>
            <w:tcW w:w="7632" w:type="dxa"/>
            <w:tcBorders>
              <w:top w:val="single" w:sz="4" w:space="0" w:color="auto"/>
              <w:left w:val="single" w:sz="4" w:space="0" w:color="auto"/>
              <w:bottom w:val="single" w:sz="4" w:space="0" w:color="auto"/>
              <w:right w:val="single" w:sz="4" w:space="0" w:color="auto"/>
            </w:tcBorders>
            <w:vAlign w:val="center"/>
          </w:tcPr>
          <w:p w14:paraId="5160AF5D" w14:textId="2A51E8CC" w:rsidR="002E7C4D" w:rsidRPr="00613D53" w:rsidRDefault="002E7C4D" w:rsidP="002E7C4D">
            <w:pPr>
              <w:spacing w:after="0" w:line="240" w:lineRule="auto"/>
              <w:jc w:val="both"/>
              <w:rPr>
                <w:rFonts w:ascii="Cambria" w:hAnsi="Cambria"/>
                <w:color w:val="080808"/>
                <w:sz w:val="20"/>
                <w:szCs w:val="20"/>
                <w:lang w:val="es-CO"/>
              </w:rPr>
            </w:pPr>
            <w:r w:rsidRPr="00613D53">
              <w:rPr>
                <w:rFonts w:ascii="Cambria" w:eastAsia="Batang" w:hAnsi="Cambria" w:cs="Calibri Light"/>
                <w:b/>
                <w:bCs/>
                <w:color w:val="000000"/>
                <w:sz w:val="20"/>
                <w:szCs w:val="20"/>
                <w:lang w:val="es-ES_tradnl"/>
              </w:rPr>
              <w:t>II.</w:t>
            </w:r>
            <w:r w:rsidRPr="00613D53">
              <w:rPr>
                <w:rFonts w:ascii="Cambria" w:eastAsia="Batang" w:hAnsi="Cambria" w:cs="Calibri Light"/>
                <w:b/>
                <w:bCs/>
                <w:color w:val="000000"/>
                <w:sz w:val="20"/>
                <w:szCs w:val="20"/>
                <w:lang w:val="es-ES_tradnl"/>
              </w:rPr>
              <w:tab/>
              <w:t>PROCESO DE SOLUCIÓN AMISTOSA</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77777777" w:rsidR="002E7C4D" w:rsidRPr="00613D53" w:rsidRDefault="002E7C4D" w:rsidP="002E7C4D">
            <w:pPr>
              <w:spacing w:after="0" w:line="240" w:lineRule="auto"/>
              <w:jc w:val="center"/>
              <w:rPr>
                <w:rFonts w:ascii="Cambria" w:eastAsia="Batang" w:hAnsi="Cambria"/>
                <w:b/>
                <w:color w:val="080808"/>
                <w:sz w:val="20"/>
                <w:szCs w:val="20"/>
                <w:lang w:val="es-CO"/>
              </w:rPr>
            </w:pPr>
            <w:r w:rsidRPr="00613D53">
              <w:rPr>
                <w:rFonts w:ascii="Cambria" w:eastAsia="Batang" w:hAnsi="Cambria"/>
                <w:b/>
                <w:bCs/>
                <w:color w:val="000000"/>
                <w:sz w:val="20"/>
                <w:szCs w:val="20"/>
                <w:lang w:val="es-CO" w:eastAsia="es-ES_tradnl"/>
              </w:rPr>
              <w:t>Cláusula Declarativa</w:t>
            </w:r>
          </w:p>
        </w:tc>
      </w:tr>
      <w:tr w:rsidR="002E7C4D" w:rsidRPr="00435B4D" w14:paraId="3EFBC0C7" w14:textId="77777777" w:rsidTr="00725E33">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33BB821E" w14:textId="77777777" w:rsidR="002E7C4D" w:rsidRPr="00613D53" w:rsidRDefault="002E7C4D" w:rsidP="00BC0C37">
            <w:pPr>
              <w:spacing w:line="240" w:lineRule="auto"/>
              <w:jc w:val="both"/>
              <w:rPr>
                <w:rFonts w:ascii="Cambria" w:eastAsia="Batang" w:hAnsi="Cambria" w:cs="Calibri Light"/>
                <w:b/>
                <w:bCs/>
                <w:color w:val="000000"/>
                <w:sz w:val="20"/>
                <w:szCs w:val="20"/>
                <w:lang w:val="es-ES_tradnl"/>
              </w:rPr>
            </w:pPr>
            <w:r w:rsidRPr="00613D53">
              <w:rPr>
                <w:rFonts w:ascii="Cambria" w:eastAsia="Batang" w:hAnsi="Cambria" w:cs="Calibri Light"/>
                <w:b/>
                <w:bCs/>
                <w:color w:val="000000"/>
                <w:sz w:val="20"/>
                <w:szCs w:val="20"/>
                <w:lang w:val="es-ES_tradnl"/>
              </w:rPr>
              <w:t>III.</w:t>
            </w:r>
            <w:r w:rsidRPr="00613D53">
              <w:rPr>
                <w:rFonts w:ascii="Cambria" w:eastAsia="Batang" w:hAnsi="Cambria" w:cs="Calibri Light"/>
                <w:b/>
                <w:bCs/>
                <w:color w:val="000000"/>
                <w:sz w:val="20"/>
                <w:szCs w:val="20"/>
                <w:lang w:val="es-ES_tradnl"/>
              </w:rPr>
              <w:tab/>
              <w:t>RECONOCIMIENTO DE RESPONSABILIDAD INTERNACIONAL COMO MEDIDA DE SATISFACCIÓN</w:t>
            </w:r>
          </w:p>
          <w:p w14:paraId="3B7B8E05" w14:textId="77777777" w:rsidR="002E7C4D" w:rsidRPr="00613D53" w:rsidRDefault="002E7C4D" w:rsidP="00BC0C37">
            <w:pPr>
              <w:spacing w:line="240" w:lineRule="auto"/>
              <w:jc w:val="both"/>
              <w:rPr>
                <w:rFonts w:ascii="Cambria" w:eastAsia="Batang" w:hAnsi="Cambria" w:cs="Calibri Light"/>
                <w:color w:val="000000"/>
                <w:sz w:val="20"/>
                <w:szCs w:val="20"/>
                <w:lang w:val="es-ES_tradnl"/>
              </w:rPr>
            </w:pPr>
            <w:r w:rsidRPr="00613D53">
              <w:rPr>
                <w:rFonts w:ascii="Cambria" w:eastAsia="Batang" w:hAnsi="Cambria" w:cs="Calibri Light"/>
                <w:color w:val="000000"/>
                <w:sz w:val="20"/>
                <w:szCs w:val="20"/>
                <w:lang w:val="es-ES_tradnl"/>
              </w:rPr>
              <w:t>El Estado boliviano reconoce su responsabilidad internacional por la violación de los derechos de Marcela Alejandra Porco, a la integridad personal, a la libertad personal, a las garantías judiciales, a la protección de la honra y dignidad y, a la protección judicial, reconocidos en los artículos 5.1, 7, 8.1, 11.1 y 25 de la Convención ADH, todos ellos en concordancia con las obligaciones generales de respetar y garantizar los derechos previstos en los artículos 1.1 y 2 de dicho instrumento internacional.</w:t>
            </w:r>
          </w:p>
          <w:p w14:paraId="2A1CB548" w14:textId="0E04167C" w:rsidR="002E7C4D" w:rsidRPr="00613D53" w:rsidRDefault="002E7C4D" w:rsidP="00BC0C37">
            <w:pPr>
              <w:spacing w:after="0" w:line="240" w:lineRule="auto"/>
              <w:jc w:val="both"/>
              <w:rPr>
                <w:rFonts w:ascii="Cambria" w:hAnsi="Cambria"/>
                <w:color w:val="080808"/>
                <w:sz w:val="20"/>
                <w:szCs w:val="20"/>
                <w:lang w:val="es-CO"/>
              </w:rPr>
            </w:pPr>
            <w:r w:rsidRPr="00613D53">
              <w:rPr>
                <w:rFonts w:ascii="Cambria" w:eastAsia="Batang" w:hAnsi="Cambria" w:cs="Calibri Light"/>
                <w:color w:val="000000"/>
                <w:sz w:val="20"/>
                <w:szCs w:val="20"/>
                <w:lang w:val="es-ES_tradnl"/>
              </w:rPr>
              <w:t>El reconocimiento de la responsabilidad del Estado por la violación de los derechos humanos mencionados anteriormente se plasmará en una misiva formal dirigida a Antonela Grisi y Gaspar Porco, firmada por el Procurador General del Estado, en su calidad de representante legal del Estado, que incluirá una disculpa por las violaciones de derechos configuradas en el Informe de Admisibilidad N° 8/08 de 4 de marzo de 2008. Dicha misiva será presentada en el marco de este trámite internacional en el plazo de tres (3) meses computables a partir de la firma de este ASA.</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77777777" w:rsidR="002E7C4D" w:rsidRPr="00613D53" w:rsidRDefault="002E7C4D" w:rsidP="002E7C4D">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80808"/>
                <w:sz w:val="20"/>
                <w:szCs w:val="20"/>
                <w:lang w:val="es-CO"/>
              </w:rPr>
              <w:t>Total</w:t>
            </w:r>
            <w:r w:rsidRPr="00613D53">
              <w:rPr>
                <w:rFonts w:ascii="Cambria" w:eastAsia="Batang" w:hAnsi="Cambria"/>
                <w:b/>
                <w:color w:val="080808"/>
                <w:sz w:val="20"/>
                <w:szCs w:val="20"/>
                <w:vertAlign w:val="superscript"/>
                <w:lang w:val="es-CO"/>
              </w:rPr>
              <w:footnoteReference w:id="1"/>
            </w:r>
          </w:p>
        </w:tc>
      </w:tr>
      <w:tr w:rsidR="0069510D" w:rsidRPr="00435B4D" w14:paraId="65234A91" w14:textId="77777777" w:rsidTr="00725E33">
        <w:trPr>
          <w:trHeight w:val="353"/>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1716EA32" w14:textId="4A6AD24A" w:rsidR="0069510D" w:rsidRPr="00613D53" w:rsidRDefault="0069510D" w:rsidP="0069510D">
            <w:pPr>
              <w:spacing w:after="0" w:line="240" w:lineRule="auto"/>
              <w:ind w:left="734" w:hanging="734"/>
              <w:rPr>
                <w:rFonts w:ascii="Cambria" w:eastAsia="Batang" w:hAnsi="Cambria"/>
                <w:b/>
                <w:color w:val="000000"/>
                <w:sz w:val="20"/>
                <w:szCs w:val="20"/>
                <w:lang w:val="es-CO" w:eastAsia="es-ES_tradnl"/>
              </w:rPr>
            </w:pPr>
            <w:r w:rsidRPr="00613D53">
              <w:rPr>
                <w:rFonts w:ascii="Cambria" w:eastAsia="Batang" w:hAnsi="Cambria"/>
                <w:b/>
                <w:bCs/>
                <w:color w:val="080808"/>
                <w:sz w:val="20"/>
                <w:szCs w:val="20"/>
                <w:lang w:val="es-ES_tradnl"/>
              </w:rPr>
              <w:t>IV.</w:t>
            </w:r>
            <w:r w:rsidRPr="00613D53">
              <w:rPr>
                <w:rFonts w:ascii="Cambria" w:eastAsia="Batang" w:hAnsi="Cambria"/>
                <w:b/>
                <w:bCs/>
                <w:color w:val="080808"/>
                <w:sz w:val="20"/>
                <w:szCs w:val="20"/>
                <w:lang w:val="es-ES_tradnl"/>
              </w:rPr>
              <w:tab/>
              <w:t>MEDIDAS DE NO REPETICIÓN</w:t>
            </w:r>
          </w:p>
        </w:tc>
      </w:tr>
      <w:tr w:rsidR="003B3362" w:rsidRPr="00435B4D" w14:paraId="29366998" w14:textId="77777777" w:rsidTr="00725E33">
        <w:trPr>
          <w:trHeight w:val="1151"/>
          <w:jc w:val="center"/>
        </w:trPr>
        <w:tc>
          <w:tcPr>
            <w:tcW w:w="7632" w:type="dxa"/>
            <w:tcBorders>
              <w:top w:val="single" w:sz="4" w:space="0" w:color="auto"/>
              <w:left w:val="single" w:sz="4" w:space="0" w:color="auto"/>
              <w:bottom w:val="single" w:sz="4" w:space="0" w:color="auto"/>
              <w:right w:val="single" w:sz="4" w:space="0" w:color="auto"/>
            </w:tcBorders>
            <w:vAlign w:val="center"/>
          </w:tcPr>
          <w:p w14:paraId="569EDD77" w14:textId="77777777" w:rsidR="0069510D" w:rsidRPr="00613D53" w:rsidRDefault="0069510D" w:rsidP="000E1F3F">
            <w:pPr>
              <w:spacing w:after="0" w:line="240" w:lineRule="auto"/>
              <w:ind w:left="731" w:hanging="731"/>
              <w:jc w:val="both"/>
              <w:rPr>
                <w:rFonts w:ascii="Cambria" w:eastAsia="Batang" w:hAnsi="Cambria"/>
                <w:b/>
                <w:bCs/>
                <w:color w:val="080808"/>
                <w:sz w:val="20"/>
                <w:szCs w:val="20"/>
                <w:lang w:val="es-ES_tradnl"/>
              </w:rPr>
            </w:pPr>
            <w:r w:rsidRPr="00613D53">
              <w:rPr>
                <w:rFonts w:ascii="Cambria" w:eastAsia="Batang" w:hAnsi="Cambria"/>
                <w:b/>
                <w:bCs/>
                <w:color w:val="080808"/>
                <w:sz w:val="20"/>
                <w:szCs w:val="20"/>
                <w:lang w:val="es-ES_tradnl"/>
              </w:rPr>
              <w:t>1.</w:t>
            </w:r>
            <w:r w:rsidRPr="00613D53">
              <w:rPr>
                <w:rFonts w:ascii="Cambria" w:eastAsia="Batang" w:hAnsi="Cambria"/>
                <w:b/>
                <w:bCs/>
                <w:color w:val="080808"/>
                <w:sz w:val="20"/>
                <w:szCs w:val="20"/>
                <w:lang w:val="es-ES_tradnl"/>
              </w:rPr>
              <w:tab/>
              <w:t>Reforma legislativa</w:t>
            </w:r>
          </w:p>
          <w:p w14:paraId="27A30AF4" w14:textId="77777777" w:rsidR="0069510D" w:rsidRPr="00613D53" w:rsidRDefault="0069510D" w:rsidP="0069510D">
            <w:pPr>
              <w:spacing w:after="0" w:line="240" w:lineRule="auto"/>
              <w:jc w:val="both"/>
              <w:rPr>
                <w:rFonts w:ascii="Cambria" w:eastAsia="Batang" w:hAnsi="Cambria"/>
                <w:bCs/>
                <w:color w:val="080808"/>
                <w:sz w:val="20"/>
                <w:szCs w:val="20"/>
                <w:lang w:val="es-ES_tradnl"/>
              </w:rPr>
            </w:pPr>
            <w:r w:rsidRPr="00613D53">
              <w:rPr>
                <w:rFonts w:ascii="Cambria" w:eastAsia="Batang" w:hAnsi="Cambria"/>
                <w:bCs/>
                <w:color w:val="080808"/>
                <w:sz w:val="20"/>
                <w:szCs w:val="20"/>
                <w:lang w:val="es-ES_tradnl"/>
              </w:rPr>
              <w:t>En la gestión 2019, en el marco de las negociaciones de este ASA, previamente consensuado con la parte peticionaria, se presentó un Proyecto de Ley ante la Cámara de Diputados, para modificar el artículo 295 del Código Penal, acorde a la Convención Interamericana para Prevenir y Sancionar la Tortura, las recomendaciones de Observaciones Finales sobre el Segundo Informe del Estado Plurinacional de Bolivia, adoptadas por el Comité contra la Tortura en su 50º Período de Sesiones (A/56/44) y otros instrumentos internacionales, relativos a la prevención de la tortura, que posteriormente se devolvió con observaciones a las instituciones proyectistas.</w:t>
            </w:r>
          </w:p>
          <w:p w14:paraId="34E7FB9F" w14:textId="77777777" w:rsidR="0069510D" w:rsidRPr="00613D53" w:rsidRDefault="0069510D" w:rsidP="0069510D">
            <w:pPr>
              <w:spacing w:after="0" w:line="240" w:lineRule="auto"/>
              <w:jc w:val="both"/>
              <w:rPr>
                <w:rFonts w:ascii="Cambria" w:eastAsia="Batang" w:hAnsi="Cambria"/>
                <w:bCs/>
                <w:color w:val="080808"/>
                <w:sz w:val="20"/>
                <w:szCs w:val="20"/>
                <w:lang w:val="es-ES_tradnl"/>
              </w:rPr>
            </w:pPr>
            <w:r w:rsidRPr="00613D53">
              <w:rPr>
                <w:rFonts w:ascii="Cambria" w:eastAsia="Batang" w:hAnsi="Cambria"/>
                <w:bCs/>
                <w:color w:val="080808"/>
                <w:sz w:val="20"/>
                <w:szCs w:val="20"/>
                <w:lang w:val="es-ES_tradnl"/>
              </w:rPr>
              <w:t>El 16 de agosto de 2021, el Servicio de Prevención de la Tortura (“SEPRET”) remitió al Ministerio de Justicia y Transparencia Institucional, dos propuestas de modificación del artículo 295 del Código Penal, para que sean analizadas y una vez que se elabore la versión final del Proyecto de Ley, el Estado se compromete a compartirlo con la parte peticionaria para recibir sus observaciones finales y a presentarlo ante la Asamblea Legislativa Plurinacional para su aprobación.</w:t>
            </w:r>
          </w:p>
          <w:p w14:paraId="734F1DD2" w14:textId="42ACD974" w:rsidR="003B3362" w:rsidRPr="00613D53" w:rsidRDefault="0069510D" w:rsidP="0069510D">
            <w:pPr>
              <w:spacing w:after="0" w:line="240" w:lineRule="auto"/>
              <w:jc w:val="both"/>
              <w:rPr>
                <w:rFonts w:ascii="Cambria" w:hAnsi="Cambria"/>
                <w:color w:val="080808"/>
                <w:sz w:val="20"/>
                <w:szCs w:val="20"/>
                <w:lang w:val="es-CO"/>
              </w:rPr>
            </w:pPr>
            <w:r w:rsidRPr="00613D53">
              <w:rPr>
                <w:rFonts w:ascii="Cambria" w:eastAsia="Batang" w:hAnsi="Cambria"/>
                <w:bCs/>
                <w:color w:val="080808"/>
                <w:sz w:val="20"/>
                <w:szCs w:val="20"/>
                <w:lang w:val="es-ES_tradnl"/>
              </w:rPr>
              <w:t>Dicha presentación será realizada dentro del plazo de cuatro (4) meses a computarse desde la suscripción de este ASA; y se realizarán los esfuerzos necesarios a objeto de que el Proyecto de Ley sea aprobado en un plazo razonable.</w:t>
            </w:r>
          </w:p>
        </w:tc>
        <w:tc>
          <w:tcPr>
            <w:tcW w:w="1701" w:type="dxa"/>
            <w:tcBorders>
              <w:top w:val="single" w:sz="4" w:space="0" w:color="auto"/>
              <w:left w:val="single" w:sz="4" w:space="0" w:color="auto"/>
              <w:bottom w:val="single" w:sz="4" w:space="0" w:color="auto"/>
              <w:right w:val="single" w:sz="4" w:space="0" w:color="auto"/>
            </w:tcBorders>
            <w:vAlign w:val="center"/>
          </w:tcPr>
          <w:p w14:paraId="3D380577" w14:textId="77777777" w:rsidR="003B3362" w:rsidRPr="00613D53" w:rsidRDefault="003B3362" w:rsidP="00F024F0">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00000"/>
                <w:sz w:val="20"/>
                <w:szCs w:val="20"/>
                <w:lang w:val="es-CO" w:eastAsia="es-ES_tradnl"/>
              </w:rPr>
              <w:t>Total</w:t>
            </w:r>
            <w:r w:rsidRPr="00613D53">
              <w:rPr>
                <w:rFonts w:ascii="Cambria" w:eastAsia="Batang" w:hAnsi="Cambria"/>
                <w:b/>
                <w:color w:val="000000"/>
                <w:sz w:val="20"/>
                <w:szCs w:val="20"/>
                <w:vertAlign w:val="superscript"/>
                <w:lang w:val="es-CO" w:eastAsia="es-ES_tradnl"/>
              </w:rPr>
              <w:footnoteReference w:id="2"/>
            </w:r>
          </w:p>
        </w:tc>
      </w:tr>
      <w:tr w:rsidR="00975C5B" w:rsidRPr="00435B4D" w14:paraId="41B3CF1F" w14:textId="77777777" w:rsidTr="00725E33">
        <w:trPr>
          <w:trHeight w:val="5726"/>
          <w:jc w:val="center"/>
        </w:trPr>
        <w:tc>
          <w:tcPr>
            <w:tcW w:w="7632" w:type="dxa"/>
            <w:tcBorders>
              <w:top w:val="single" w:sz="4" w:space="0" w:color="auto"/>
              <w:left w:val="single" w:sz="4" w:space="0" w:color="auto"/>
              <w:bottom w:val="single" w:sz="4" w:space="0" w:color="auto"/>
              <w:right w:val="single" w:sz="4" w:space="0" w:color="auto"/>
            </w:tcBorders>
            <w:vAlign w:val="center"/>
          </w:tcPr>
          <w:p w14:paraId="064B2A08" w14:textId="77777777" w:rsidR="00975C5B" w:rsidRPr="00613D53" w:rsidRDefault="00975C5B" w:rsidP="000E1F3F">
            <w:pPr>
              <w:spacing w:line="240" w:lineRule="auto"/>
              <w:ind w:left="731" w:hanging="731"/>
              <w:jc w:val="both"/>
              <w:rPr>
                <w:rFonts w:ascii="Cambria" w:hAnsi="Cambria"/>
                <w:b/>
                <w:bCs/>
                <w:sz w:val="20"/>
                <w:szCs w:val="20"/>
                <w:lang w:val="es-ES_tradnl"/>
              </w:rPr>
            </w:pPr>
            <w:r w:rsidRPr="00613D53">
              <w:rPr>
                <w:rFonts w:ascii="Cambria" w:hAnsi="Cambria"/>
                <w:b/>
                <w:bCs/>
                <w:sz w:val="20"/>
                <w:szCs w:val="20"/>
                <w:lang w:val="es-ES_tradnl"/>
              </w:rPr>
              <w:lastRenderedPageBreak/>
              <w:t>2.</w:t>
            </w:r>
            <w:r w:rsidRPr="00613D53">
              <w:rPr>
                <w:rFonts w:ascii="Cambria" w:hAnsi="Cambria"/>
                <w:b/>
                <w:bCs/>
                <w:sz w:val="20"/>
                <w:szCs w:val="20"/>
                <w:lang w:val="es-ES_tradnl"/>
              </w:rPr>
              <w:tab/>
              <w:t xml:space="preserve">Derecho a la verdad, justicia y garantías de no repetición. </w:t>
            </w:r>
          </w:p>
          <w:p w14:paraId="0C982D55" w14:textId="77777777" w:rsidR="00975C5B" w:rsidRPr="00613D53" w:rsidRDefault="00975C5B" w:rsidP="00975C5B">
            <w:pPr>
              <w:spacing w:line="240" w:lineRule="auto"/>
              <w:jc w:val="both"/>
              <w:rPr>
                <w:rFonts w:ascii="Cambria" w:hAnsi="Cambria"/>
                <w:sz w:val="20"/>
                <w:szCs w:val="20"/>
                <w:lang w:val="es-ES_tradnl"/>
              </w:rPr>
            </w:pPr>
            <w:r w:rsidRPr="00613D53">
              <w:rPr>
                <w:rFonts w:ascii="Cambria" w:hAnsi="Cambria"/>
                <w:sz w:val="20"/>
                <w:szCs w:val="20"/>
                <w:lang w:val="es-ES_tradnl"/>
              </w:rPr>
              <w:t xml:space="preserve">El Estado Plurinacional de Bolivia reconoce el derecho a la verdad y a la justicia de toda víctima de graves violaciones de derechos humanos. En atención a ello, el Estado exploró la viabilidad de interponer una denuncia penal, pero tomando en cuenta el paso del tiempo y el fallecimiento de la víctima, ello resultó inviable. </w:t>
            </w:r>
          </w:p>
          <w:p w14:paraId="277DAB03" w14:textId="450FD7BC" w:rsidR="00975C5B" w:rsidRPr="00613D53" w:rsidRDefault="00975C5B" w:rsidP="00975C5B">
            <w:pPr>
              <w:spacing w:after="0" w:line="240" w:lineRule="auto"/>
              <w:jc w:val="both"/>
              <w:rPr>
                <w:rFonts w:ascii="Cambria" w:hAnsi="Cambria"/>
                <w:color w:val="080808"/>
                <w:sz w:val="20"/>
                <w:szCs w:val="20"/>
                <w:lang w:val="es-CO"/>
              </w:rPr>
            </w:pPr>
            <w:r w:rsidRPr="00613D53">
              <w:rPr>
                <w:rFonts w:ascii="Cambria" w:hAnsi="Cambria"/>
                <w:sz w:val="20"/>
                <w:szCs w:val="20"/>
                <w:lang w:val="es-ES_tradnl"/>
              </w:rPr>
              <w:t>En mérito a ello, a objeto de contribuir a la no repetición de los hechos vinculados con este caso, el Estado se compromete a que, a través del Ministerio de Gobierno, se emita  un instructivo interno de alcance nacional, dirigido a la Dirección General de Régimen Penitenciario, y al Comando General de la Policía Boliviana, recordándoles que el Estado se encuentra en una posición especial de garante frente a las personas privadas de libertad, y que como tal, asume deberes específicos de respeto y garantía de los derechos fundamentales de estas personas; en particular, de los derechos a la vida y a la integridad personal, cuya realización es condición indispensable para el logro de los fines esenciales de la pena privativa de libertad: la reforma y la readaptación social de los condenados. Asimismo, se recordará la obligación de cumplir con los Principios y Buenas Prácticas sobre la Protección de las Personas Privadas de Libertad en las Américas, así como las Reglas Mínimas de Naciones Unidas para el Tratamiento de los Reclusos (Reglas Nelson Mandela) principalmente en relación a la atención médica y el trato humano, según el cual, toda persona privada de libertad será tratada humanamente, con respeto irrestricto de su dignidad inherente, de sus derechos y garantías fundamentales, y con estricto apego a los instrumentos internacionales sobre derechos humanos y a las responsabilidades derivadas de su incumplimiento. Igualmente, el instructivo hará referencia específica a los hechos de este caso, su contenido y redacción será previamente acordado con la víctima y sus representantes.</w:t>
            </w:r>
          </w:p>
        </w:tc>
        <w:tc>
          <w:tcPr>
            <w:tcW w:w="1701" w:type="dxa"/>
            <w:tcBorders>
              <w:top w:val="single" w:sz="4" w:space="0" w:color="auto"/>
              <w:left w:val="single" w:sz="4" w:space="0" w:color="auto"/>
              <w:bottom w:val="single" w:sz="4" w:space="0" w:color="auto"/>
              <w:right w:val="single" w:sz="4" w:space="0" w:color="auto"/>
            </w:tcBorders>
            <w:vAlign w:val="center"/>
          </w:tcPr>
          <w:p w14:paraId="1B164DCF" w14:textId="77777777" w:rsidR="00975C5B" w:rsidRPr="00613D53" w:rsidRDefault="00975C5B" w:rsidP="00975C5B">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80808"/>
                <w:sz w:val="20"/>
                <w:szCs w:val="20"/>
                <w:lang w:val="es-CO"/>
              </w:rPr>
              <w:t>Total</w:t>
            </w:r>
            <w:r w:rsidRPr="00613D53">
              <w:rPr>
                <w:rFonts w:ascii="Cambria" w:eastAsia="Batang" w:hAnsi="Cambria"/>
                <w:b/>
                <w:color w:val="080808"/>
                <w:sz w:val="20"/>
                <w:szCs w:val="20"/>
                <w:vertAlign w:val="superscript"/>
                <w:lang w:val="es-CO"/>
              </w:rPr>
              <w:footnoteReference w:id="3"/>
            </w:r>
          </w:p>
        </w:tc>
      </w:tr>
      <w:tr w:rsidR="00A550AB" w:rsidRPr="00435B4D" w14:paraId="2BB71397" w14:textId="77777777" w:rsidTr="00725E33">
        <w:trPr>
          <w:trHeight w:val="442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52A58AE" w14:textId="77777777" w:rsidR="00A550AB" w:rsidRPr="00613D53" w:rsidRDefault="00A550AB" w:rsidP="00A550AB">
            <w:pPr>
              <w:spacing w:line="240" w:lineRule="auto"/>
              <w:ind w:left="743" w:hanging="743"/>
              <w:jc w:val="both"/>
              <w:rPr>
                <w:rFonts w:ascii="Cambria" w:hAnsi="Cambria"/>
                <w:b/>
                <w:bCs/>
                <w:sz w:val="20"/>
                <w:szCs w:val="20"/>
                <w:lang w:val="es-ES_tradnl"/>
              </w:rPr>
            </w:pPr>
            <w:r w:rsidRPr="00613D53">
              <w:rPr>
                <w:rFonts w:ascii="Cambria" w:hAnsi="Cambria"/>
                <w:b/>
                <w:bCs/>
                <w:sz w:val="20"/>
                <w:szCs w:val="20"/>
                <w:lang w:val="es-ES_tradnl"/>
              </w:rPr>
              <w:t>V.</w:t>
            </w:r>
            <w:r w:rsidRPr="00613D53">
              <w:rPr>
                <w:rFonts w:ascii="Cambria" w:hAnsi="Cambria"/>
                <w:b/>
                <w:bCs/>
                <w:sz w:val="20"/>
                <w:szCs w:val="20"/>
                <w:lang w:val="es-ES_tradnl"/>
              </w:rPr>
              <w:tab/>
              <w:t xml:space="preserve">INDEMNIZACIÓN </w:t>
            </w:r>
          </w:p>
          <w:p w14:paraId="4498B47F" w14:textId="77777777" w:rsidR="00A550AB" w:rsidRPr="00613D53" w:rsidRDefault="00A550AB" w:rsidP="00A550AB">
            <w:pPr>
              <w:spacing w:line="240" w:lineRule="auto"/>
              <w:jc w:val="both"/>
              <w:rPr>
                <w:rFonts w:ascii="Cambria" w:hAnsi="Cambria"/>
                <w:sz w:val="20"/>
                <w:szCs w:val="20"/>
                <w:lang w:val="es-ES_tradnl"/>
              </w:rPr>
            </w:pPr>
            <w:r w:rsidRPr="00613D53">
              <w:rPr>
                <w:rFonts w:ascii="Cambria" w:hAnsi="Cambria"/>
                <w:sz w:val="20"/>
                <w:szCs w:val="20"/>
                <w:lang w:val="es-ES_tradnl"/>
              </w:rPr>
              <w:t xml:space="preserve">El Estado se compromete a indemnizar a Antonela Grisi, hija de Marcela Alejandra Porco, por las violaciones de derechos señaladas en el Informe de Admisibilidad N° 8/08 de 4 de marzo de 2008, con el pago único de U$.12.000 (DOCE MIL 00/100 DÓLARES AMERICANOS), que se materializará a través de un Decreto y deberá ser realizado dentro del plazo de un (1) año, a partir de la firma de este ASA. Considerando que Antonela Grisi reside en Argentina, el pago será realizado mediante una transferencia bancaria internacional. </w:t>
            </w:r>
          </w:p>
          <w:p w14:paraId="31514933" w14:textId="77777777" w:rsidR="00A550AB" w:rsidRPr="00613D53" w:rsidRDefault="00A550AB" w:rsidP="00A550AB">
            <w:pPr>
              <w:spacing w:line="240" w:lineRule="auto"/>
              <w:jc w:val="both"/>
              <w:rPr>
                <w:rFonts w:ascii="Cambria" w:hAnsi="Cambria"/>
                <w:sz w:val="20"/>
                <w:szCs w:val="20"/>
                <w:lang w:val="es-ES_tradnl"/>
              </w:rPr>
            </w:pPr>
            <w:r w:rsidRPr="00613D53">
              <w:rPr>
                <w:rFonts w:ascii="Cambria" w:hAnsi="Cambria"/>
                <w:sz w:val="20"/>
                <w:szCs w:val="20"/>
                <w:lang w:val="es-ES_tradnl"/>
              </w:rPr>
              <w:t>Sin embargo, el Estado solo se hará responsable del pago de indemnización a Antonela Grisi y no será responsable de ningún otro pago relacionado con los hechos referidos en este caso.</w:t>
            </w:r>
          </w:p>
          <w:p w14:paraId="0CF4B0D2" w14:textId="1671F3EF" w:rsidR="00A550AB" w:rsidRPr="00613D53" w:rsidRDefault="00A550AB" w:rsidP="000901A1">
            <w:pPr>
              <w:spacing w:after="0" w:line="240" w:lineRule="auto"/>
              <w:jc w:val="both"/>
              <w:rPr>
                <w:rFonts w:ascii="Cambria" w:hAnsi="Cambria"/>
                <w:b/>
                <w:bCs/>
                <w:sz w:val="20"/>
                <w:szCs w:val="20"/>
                <w:lang w:val="es-ES_tradnl"/>
              </w:rPr>
            </w:pPr>
            <w:r w:rsidRPr="00613D53">
              <w:rPr>
                <w:rFonts w:ascii="Cambria" w:hAnsi="Cambria"/>
                <w:sz w:val="20"/>
                <w:szCs w:val="20"/>
                <w:lang w:val="es-ES_tradnl"/>
              </w:rPr>
              <w:t>Por otro lado, Antonela Grisi, Gaspar Porco y el CEJIL, renuncian de manera definitiva e irrevocable a iniciar otro reclamo de cualquier naturaleza con el Estado boliviano en relación con los hechos que motivaron este caso.</w:t>
            </w:r>
          </w:p>
        </w:tc>
        <w:tc>
          <w:tcPr>
            <w:tcW w:w="1701" w:type="dxa"/>
            <w:tcBorders>
              <w:top w:val="single" w:sz="4" w:space="0" w:color="auto"/>
              <w:left w:val="single" w:sz="4" w:space="0" w:color="auto"/>
              <w:bottom w:val="single" w:sz="4" w:space="0" w:color="auto"/>
              <w:right w:val="single" w:sz="4" w:space="0" w:color="auto"/>
            </w:tcBorders>
            <w:vAlign w:val="center"/>
          </w:tcPr>
          <w:p w14:paraId="223022E3" w14:textId="48E0192E" w:rsidR="00A550AB" w:rsidRPr="00613D53" w:rsidRDefault="000E1F3F" w:rsidP="00975C5B">
            <w:pPr>
              <w:spacing w:after="0" w:line="240" w:lineRule="auto"/>
              <w:jc w:val="center"/>
              <w:rPr>
                <w:rFonts w:ascii="Cambria" w:eastAsia="Batang" w:hAnsi="Cambria"/>
                <w:b/>
                <w:color w:val="080808"/>
                <w:sz w:val="20"/>
                <w:szCs w:val="20"/>
                <w:lang w:val="es-CO"/>
              </w:rPr>
            </w:pPr>
            <w:r w:rsidRPr="00613D53">
              <w:rPr>
                <w:rFonts w:ascii="Cambria" w:eastAsia="Batang" w:hAnsi="Cambria"/>
                <w:b/>
                <w:color w:val="080808"/>
                <w:sz w:val="20"/>
                <w:szCs w:val="20"/>
                <w:lang w:val="es-CO"/>
              </w:rPr>
              <w:t>Total</w:t>
            </w:r>
            <w:r w:rsidRPr="00613D53">
              <w:rPr>
                <w:rStyle w:val="FootnoteReference"/>
                <w:rFonts w:ascii="Cambria" w:eastAsia="Batang" w:hAnsi="Cambria"/>
                <w:b/>
                <w:color w:val="080808"/>
                <w:sz w:val="20"/>
                <w:szCs w:val="20"/>
                <w:lang w:val="es-CO"/>
              </w:rPr>
              <w:footnoteReference w:id="4"/>
            </w:r>
          </w:p>
        </w:tc>
      </w:tr>
      <w:tr w:rsidR="000E1F3F" w:rsidRPr="00435B4D" w14:paraId="33100E7E" w14:textId="77777777" w:rsidTr="00725E33">
        <w:trPr>
          <w:trHeight w:val="565"/>
          <w:jc w:val="center"/>
        </w:trPr>
        <w:tc>
          <w:tcPr>
            <w:tcW w:w="7632" w:type="dxa"/>
            <w:tcBorders>
              <w:top w:val="single" w:sz="4" w:space="0" w:color="auto"/>
              <w:left w:val="single" w:sz="4" w:space="0" w:color="auto"/>
              <w:bottom w:val="single" w:sz="4" w:space="0" w:color="auto"/>
              <w:right w:val="single" w:sz="4" w:space="0" w:color="auto"/>
            </w:tcBorders>
            <w:vAlign w:val="center"/>
          </w:tcPr>
          <w:p w14:paraId="1971069B" w14:textId="2773D913" w:rsidR="000E1F3F" w:rsidRPr="00613D53" w:rsidRDefault="000E1F3F" w:rsidP="000E1F3F">
            <w:pPr>
              <w:spacing w:line="240" w:lineRule="auto"/>
              <w:ind w:left="743" w:hanging="743"/>
              <w:jc w:val="both"/>
              <w:rPr>
                <w:rFonts w:ascii="Cambria" w:hAnsi="Cambria"/>
                <w:b/>
                <w:bCs/>
                <w:sz w:val="20"/>
                <w:szCs w:val="20"/>
                <w:lang w:val="es-ES_tradnl"/>
              </w:rPr>
            </w:pPr>
            <w:r w:rsidRPr="00613D53">
              <w:rPr>
                <w:rFonts w:ascii="Cambria" w:hAnsi="Cambria"/>
                <w:b/>
                <w:bCs/>
                <w:sz w:val="20"/>
                <w:szCs w:val="20"/>
                <w:lang w:val="es-ES_tradnl"/>
              </w:rPr>
              <w:t>VI.</w:t>
            </w:r>
            <w:r w:rsidRPr="00613D53">
              <w:rPr>
                <w:rFonts w:ascii="Cambria" w:hAnsi="Cambria"/>
                <w:b/>
                <w:bCs/>
                <w:sz w:val="20"/>
                <w:szCs w:val="20"/>
                <w:lang w:val="es-ES_tradnl"/>
              </w:rPr>
              <w:tab/>
              <w:t>NOTIFICACIÓN A LA COMISIÓN IDH</w:t>
            </w:r>
          </w:p>
        </w:tc>
        <w:tc>
          <w:tcPr>
            <w:tcW w:w="1701" w:type="dxa"/>
            <w:tcBorders>
              <w:top w:val="single" w:sz="4" w:space="0" w:color="auto"/>
              <w:left w:val="single" w:sz="4" w:space="0" w:color="auto"/>
              <w:bottom w:val="single" w:sz="4" w:space="0" w:color="auto"/>
              <w:right w:val="single" w:sz="4" w:space="0" w:color="auto"/>
            </w:tcBorders>
            <w:vAlign w:val="center"/>
          </w:tcPr>
          <w:p w14:paraId="201725C1" w14:textId="225B875E" w:rsidR="000E1F3F" w:rsidRPr="00613D53" w:rsidRDefault="000E1F3F" w:rsidP="000E1F3F">
            <w:pPr>
              <w:spacing w:after="0" w:line="240" w:lineRule="auto"/>
              <w:jc w:val="center"/>
              <w:rPr>
                <w:rFonts w:ascii="Cambria" w:eastAsia="Batang" w:hAnsi="Cambria"/>
                <w:b/>
                <w:color w:val="080808"/>
                <w:sz w:val="20"/>
                <w:szCs w:val="20"/>
                <w:lang w:val="es-CO"/>
              </w:rPr>
            </w:pPr>
            <w:r w:rsidRPr="00613D53">
              <w:rPr>
                <w:rFonts w:ascii="Cambria" w:eastAsia="Batang" w:hAnsi="Cambria"/>
                <w:b/>
                <w:bCs/>
                <w:color w:val="000000"/>
                <w:sz w:val="20"/>
                <w:szCs w:val="20"/>
                <w:lang w:val="es-CO"/>
              </w:rPr>
              <w:t>Cláusula declarativa</w:t>
            </w:r>
          </w:p>
        </w:tc>
      </w:tr>
      <w:tr w:rsidR="000E1F3F" w:rsidRPr="00435B4D" w14:paraId="5E05B5B2" w14:textId="77777777" w:rsidTr="00725E33">
        <w:trPr>
          <w:trHeight w:val="565"/>
          <w:jc w:val="center"/>
        </w:trPr>
        <w:tc>
          <w:tcPr>
            <w:tcW w:w="7632" w:type="dxa"/>
            <w:tcBorders>
              <w:top w:val="single" w:sz="4" w:space="0" w:color="auto"/>
              <w:left w:val="single" w:sz="4" w:space="0" w:color="auto"/>
              <w:bottom w:val="single" w:sz="4" w:space="0" w:color="auto"/>
              <w:right w:val="single" w:sz="4" w:space="0" w:color="auto"/>
            </w:tcBorders>
            <w:vAlign w:val="center"/>
          </w:tcPr>
          <w:p w14:paraId="46CDA3DF" w14:textId="4C47FB34" w:rsidR="000E1F3F" w:rsidRPr="00613D53" w:rsidRDefault="000E1F3F" w:rsidP="000E1F3F">
            <w:pPr>
              <w:spacing w:line="240" w:lineRule="auto"/>
              <w:ind w:left="743" w:hanging="743"/>
              <w:jc w:val="both"/>
              <w:rPr>
                <w:rFonts w:ascii="Cambria" w:hAnsi="Cambria"/>
                <w:b/>
                <w:bCs/>
                <w:sz w:val="20"/>
                <w:szCs w:val="20"/>
                <w:lang w:val="es-ES_tradnl"/>
              </w:rPr>
            </w:pPr>
            <w:r w:rsidRPr="00613D53">
              <w:rPr>
                <w:rFonts w:ascii="Cambria" w:hAnsi="Cambria"/>
                <w:b/>
                <w:bCs/>
                <w:sz w:val="20"/>
                <w:szCs w:val="20"/>
                <w:lang w:val="es-ES_tradnl"/>
              </w:rPr>
              <w:t>VII.</w:t>
            </w:r>
            <w:r w:rsidRPr="00613D53">
              <w:rPr>
                <w:rFonts w:ascii="Cambria" w:hAnsi="Cambria"/>
                <w:b/>
                <w:bCs/>
                <w:sz w:val="20"/>
                <w:szCs w:val="20"/>
                <w:lang w:val="es-ES_tradnl"/>
              </w:rPr>
              <w:tab/>
              <w:t>CONFORMIDAD</w:t>
            </w:r>
          </w:p>
        </w:tc>
        <w:tc>
          <w:tcPr>
            <w:tcW w:w="1701" w:type="dxa"/>
            <w:tcBorders>
              <w:top w:val="single" w:sz="4" w:space="0" w:color="auto"/>
              <w:left w:val="single" w:sz="4" w:space="0" w:color="auto"/>
              <w:bottom w:val="single" w:sz="4" w:space="0" w:color="auto"/>
              <w:right w:val="single" w:sz="4" w:space="0" w:color="auto"/>
            </w:tcBorders>
            <w:vAlign w:val="center"/>
          </w:tcPr>
          <w:p w14:paraId="5A147628" w14:textId="007CE903" w:rsidR="000E1F3F" w:rsidRPr="00613D53" w:rsidRDefault="000E1F3F" w:rsidP="000E1F3F">
            <w:pPr>
              <w:spacing w:after="0" w:line="240" w:lineRule="auto"/>
              <w:jc w:val="center"/>
              <w:rPr>
                <w:rFonts w:ascii="Cambria" w:eastAsia="Batang" w:hAnsi="Cambria"/>
                <w:b/>
                <w:bCs/>
                <w:color w:val="000000"/>
                <w:sz w:val="20"/>
                <w:szCs w:val="20"/>
                <w:lang w:val="es-CO"/>
              </w:rPr>
            </w:pPr>
            <w:r w:rsidRPr="00613D53">
              <w:rPr>
                <w:rFonts w:ascii="Cambria" w:eastAsia="Batang" w:hAnsi="Cambria"/>
                <w:b/>
                <w:bCs/>
                <w:color w:val="000000"/>
                <w:sz w:val="20"/>
                <w:szCs w:val="20"/>
                <w:lang w:val="es-CO"/>
              </w:rPr>
              <w:t>Cláusula declarativa</w:t>
            </w:r>
          </w:p>
        </w:tc>
      </w:tr>
    </w:tbl>
    <w:p w14:paraId="4E918129" w14:textId="77777777" w:rsidR="000F6AC8" w:rsidRPr="00613D53" w:rsidRDefault="000F6AC8" w:rsidP="000F6AC8">
      <w:pPr>
        <w:autoSpaceDE w:val="0"/>
        <w:autoSpaceDN w:val="0"/>
        <w:adjustRightInd w:val="0"/>
        <w:spacing w:after="0" w:line="240" w:lineRule="auto"/>
        <w:ind w:left="720"/>
        <w:jc w:val="both"/>
        <w:rPr>
          <w:rFonts w:ascii="Cambria" w:eastAsia="Batang" w:hAnsi="Cambria" w:cs="Calibri Light"/>
          <w:b/>
          <w:color w:val="080808"/>
          <w:sz w:val="20"/>
          <w:szCs w:val="20"/>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513C8EB0" w14:textId="288AB9AB" w:rsidR="009453E6" w:rsidRPr="00613D53" w:rsidRDefault="003B3362" w:rsidP="00613D53">
      <w:pPr>
        <w:pStyle w:val="ListParagraph"/>
        <w:numPr>
          <w:ilvl w:val="0"/>
          <w:numId w:val="38"/>
        </w:numPr>
        <w:autoSpaceDE w:val="0"/>
        <w:autoSpaceDN w:val="0"/>
        <w:adjustRightInd w:val="0"/>
        <w:spacing w:after="0" w:line="240" w:lineRule="auto"/>
        <w:ind w:left="0" w:firstLine="720"/>
        <w:jc w:val="both"/>
        <w:rPr>
          <w:rFonts w:ascii="Cambria" w:eastAsia="Batang" w:hAnsi="Cambria" w:cs="Calibri Light"/>
          <w:b/>
          <w:color w:val="080808"/>
          <w:sz w:val="20"/>
          <w:szCs w:val="20"/>
          <w:lang w:val="es-CO"/>
        </w:rPr>
      </w:pPr>
      <w:r w:rsidRPr="00613D53">
        <w:rPr>
          <w:rFonts w:ascii="Cambria" w:hAnsi="Cambria"/>
          <w:color w:val="080808"/>
          <w:sz w:val="20"/>
          <w:szCs w:val="20"/>
          <w:lang w:val="es-CO"/>
        </w:rPr>
        <w:t xml:space="preserve">La Comisión declaró el cumplimiento total del asunto y el cese del seguimiento del acuerdo de solución amistosa </w:t>
      </w:r>
      <w:r w:rsidR="009453E6" w:rsidRPr="00613D53">
        <w:rPr>
          <w:rFonts w:ascii="Cambria" w:hAnsi="Cambria"/>
          <w:color w:val="080808"/>
          <w:sz w:val="20"/>
          <w:szCs w:val="20"/>
          <w:lang w:val="es-CO"/>
        </w:rPr>
        <w:t>en</w:t>
      </w:r>
      <w:r w:rsidR="005F3AD4" w:rsidRPr="00C87F91">
        <w:rPr>
          <w:rFonts w:ascii="Cambria" w:hAnsi="Cambria"/>
          <w:color w:val="080808"/>
          <w:sz w:val="20"/>
          <w:szCs w:val="20"/>
          <w:lang w:val="es-CO"/>
        </w:rPr>
        <w:t xml:space="preserve"> el Informe Anual de 2023.</w:t>
      </w:r>
    </w:p>
    <w:p w14:paraId="6385AFDB" w14:textId="1B3ACBA8" w:rsidR="003B3362" w:rsidRPr="009453E6" w:rsidRDefault="003B3362" w:rsidP="00613D53">
      <w:pPr>
        <w:spacing w:after="0" w:line="240" w:lineRule="auto"/>
        <w:ind w:left="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613D53" w:rsidRDefault="003B3362" w:rsidP="003B3362">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613D53">
        <w:rPr>
          <w:rFonts w:ascii="Cambria" w:eastAsia="Batang" w:hAnsi="Cambria" w:cs="Calibri Light"/>
          <w:b/>
          <w:color w:val="080808"/>
          <w:sz w:val="20"/>
          <w:szCs w:val="20"/>
          <w:lang w:val="es-CO"/>
        </w:rPr>
        <w:t>Resultados individuales del caso</w:t>
      </w:r>
    </w:p>
    <w:p w14:paraId="3A7E3E60" w14:textId="77777777" w:rsidR="003B3362" w:rsidRPr="00613D53" w:rsidRDefault="003B3362" w:rsidP="003B3362">
      <w:pPr>
        <w:spacing w:after="0" w:line="240" w:lineRule="auto"/>
        <w:ind w:left="1440" w:hanging="720"/>
        <w:contextualSpacing/>
        <w:jc w:val="both"/>
        <w:rPr>
          <w:rFonts w:ascii="Cambria" w:eastAsia="Batang" w:hAnsi="Cambria" w:cs="Calibri Light"/>
          <w:b/>
          <w:color w:val="080808"/>
          <w:sz w:val="20"/>
          <w:szCs w:val="20"/>
          <w:lang w:val="es-CO"/>
        </w:rPr>
      </w:pPr>
    </w:p>
    <w:p w14:paraId="13D0EB5B" w14:textId="4D53A5F8" w:rsidR="009B79AE" w:rsidRPr="00613D53" w:rsidRDefault="009453E6" w:rsidP="009B79AE">
      <w:pPr>
        <w:pStyle w:val="ListParagraph"/>
        <w:numPr>
          <w:ilvl w:val="0"/>
          <w:numId w:val="16"/>
        </w:numPr>
        <w:spacing w:line="240" w:lineRule="auto"/>
        <w:ind w:left="1418" w:hanging="709"/>
        <w:jc w:val="both"/>
        <w:rPr>
          <w:rFonts w:ascii="Cambria" w:eastAsia="Batang" w:hAnsi="Cambria" w:cs="Calibri Light"/>
          <w:color w:val="080808"/>
          <w:sz w:val="20"/>
          <w:szCs w:val="20"/>
          <w:lang w:val="es-CO"/>
        </w:rPr>
      </w:pPr>
      <w:r w:rsidRPr="00613D53">
        <w:rPr>
          <w:rFonts w:ascii="Cambria" w:eastAsia="Batang" w:hAnsi="Cambria" w:cs="Calibri Light"/>
          <w:color w:val="080808"/>
          <w:sz w:val="20"/>
          <w:szCs w:val="20"/>
          <w:lang w:val="es-CO"/>
        </w:rPr>
        <w:t>El 19 de septiembre de 2022, se realizó un acto simbólico en modalidad virtual de entrega y lectura de una misiva de desagravio, el cual quedó registrado en la página web de YouTube de la Procuraduría General del Estado. Posteriormente, las partes informaron que, mediante oficio PGE-DESP No. 1896/2022 de 27 de septiembre de 2002, la Procuraduria General del Estado remitió una copia de la misiva de reconocimiento de responsabilidad internacional y disculpas, suscrita por el Procurador General del Estado, misma que se envió por conducto de la Embajada de Bolivia en Buenos Aires a Antonela Grisi.</w:t>
      </w:r>
    </w:p>
    <w:p w14:paraId="54F84646" w14:textId="2B666689" w:rsidR="009B79AE" w:rsidRPr="00613D53" w:rsidRDefault="009B79AE" w:rsidP="009B79AE">
      <w:pPr>
        <w:pStyle w:val="ListParagraph"/>
        <w:numPr>
          <w:ilvl w:val="0"/>
          <w:numId w:val="44"/>
        </w:numPr>
        <w:spacing w:after="0" w:line="240" w:lineRule="auto"/>
        <w:ind w:left="1440" w:hanging="720"/>
        <w:jc w:val="both"/>
        <w:rPr>
          <w:rFonts w:ascii="Cambria" w:hAnsi="Cambria"/>
          <w:sz w:val="20"/>
          <w:szCs w:val="20"/>
          <w:lang w:val="es-ES_tradnl"/>
        </w:rPr>
      </w:pPr>
      <w:r w:rsidRPr="00613D53">
        <w:rPr>
          <w:rFonts w:ascii="Cambria" w:hAnsi="Cambria"/>
          <w:sz w:val="20"/>
          <w:szCs w:val="20"/>
          <w:lang w:val="es-ES_tradnl"/>
        </w:rPr>
        <w:t>Las partes manifestaron que la totalidad de la compensación a favor de Antonela Grisi fue cancelada.</w:t>
      </w:r>
    </w:p>
    <w:p w14:paraId="635DC6B1" w14:textId="77777777" w:rsidR="003B3362" w:rsidRPr="00613D53" w:rsidRDefault="003B3362" w:rsidP="003B3362">
      <w:pPr>
        <w:tabs>
          <w:tab w:val="left" w:pos="0"/>
        </w:tabs>
        <w:spacing w:after="0" w:line="240" w:lineRule="auto"/>
        <w:ind w:left="720"/>
        <w:contextualSpacing/>
        <w:jc w:val="both"/>
        <w:rPr>
          <w:rFonts w:ascii="Cambria" w:hAnsi="Cambria"/>
          <w:color w:val="080808"/>
          <w:sz w:val="20"/>
          <w:szCs w:val="20"/>
          <w:lang w:val="es-CO"/>
        </w:rPr>
      </w:pPr>
    </w:p>
    <w:p w14:paraId="1F9C60CD" w14:textId="77777777" w:rsidR="003B3362" w:rsidRPr="00613D53" w:rsidRDefault="003B3362" w:rsidP="003B3362">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613D53">
        <w:rPr>
          <w:rFonts w:ascii="Cambria" w:eastAsia="Batang" w:hAnsi="Cambria" w:cs="Calibri Light"/>
          <w:b/>
          <w:color w:val="080808"/>
          <w:sz w:val="20"/>
          <w:szCs w:val="20"/>
          <w:lang w:val="es-CO"/>
        </w:rPr>
        <w:t>Resultados estructurales del caso</w:t>
      </w:r>
    </w:p>
    <w:p w14:paraId="4D3A4C8C" w14:textId="77777777" w:rsidR="003B3362" w:rsidRPr="00613D53" w:rsidRDefault="003B3362" w:rsidP="003B3362">
      <w:pPr>
        <w:tabs>
          <w:tab w:val="left" w:pos="0"/>
        </w:tabs>
        <w:spacing w:after="0" w:line="240" w:lineRule="auto"/>
        <w:contextualSpacing/>
        <w:jc w:val="both"/>
        <w:rPr>
          <w:rFonts w:ascii="Cambria" w:eastAsia="Batang" w:hAnsi="Cambria" w:cs="Calibri Light"/>
          <w:color w:val="080808"/>
          <w:sz w:val="20"/>
          <w:szCs w:val="20"/>
          <w:lang w:val="es-CO"/>
        </w:rPr>
      </w:pPr>
    </w:p>
    <w:p w14:paraId="28A28343" w14:textId="77777777" w:rsidR="009B79AE" w:rsidRPr="00613D53" w:rsidRDefault="009B79AE" w:rsidP="009B79AE">
      <w:pPr>
        <w:numPr>
          <w:ilvl w:val="0"/>
          <w:numId w:val="36"/>
        </w:numPr>
        <w:spacing w:after="0" w:line="240" w:lineRule="auto"/>
        <w:ind w:left="1440" w:right="72" w:hanging="720"/>
        <w:jc w:val="both"/>
        <w:rPr>
          <w:rFonts w:ascii="Cambria" w:eastAsia="Times New Roman" w:hAnsi="Cambria"/>
          <w:sz w:val="20"/>
          <w:szCs w:val="20"/>
          <w:lang w:val="es-ES_tradnl" w:eastAsia="es-ES_tradnl"/>
        </w:rPr>
      </w:pPr>
      <w:r w:rsidRPr="00613D53">
        <w:rPr>
          <w:rFonts w:ascii="Cambria" w:eastAsia="Times New Roman" w:hAnsi="Cambria"/>
          <w:sz w:val="20"/>
          <w:szCs w:val="20"/>
          <w:lang w:val="es-ES_tradnl" w:eastAsia="es-ES_tradnl"/>
        </w:rPr>
        <w:t>Durante el mes de marzo de 2023, el Ministerio de Justicia y Transparencia Institucional presentó ante la Cámara de Diputados el Proyecto de Ley denominado “L</w:t>
      </w:r>
      <w:r w:rsidRPr="00613D53">
        <w:rPr>
          <w:rFonts w:ascii="Cambria" w:eastAsia="Times New Roman" w:hAnsi="Cambria"/>
          <w:i/>
          <w:iCs/>
          <w:sz w:val="20"/>
          <w:szCs w:val="20"/>
          <w:lang w:val="es-ES_tradnl" w:eastAsia="es-ES_tradnl"/>
        </w:rPr>
        <w:t>ey de Cumplimiento de Compromisos Internacionales en materia de Derechos Humanos</w:t>
      </w:r>
      <w:r w:rsidRPr="00613D53">
        <w:rPr>
          <w:rFonts w:ascii="Cambria" w:eastAsia="Times New Roman" w:hAnsi="Cambria"/>
          <w:sz w:val="20"/>
          <w:szCs w:val="20"/>
          <w:lang w:val="es-ES_tradnl" w:eastAsia="es-ES_tradnl"/>
        </w:rPr>
        <w:t>”, en el cual se incorporó el Informe Técnico Legal, Exposición de Motivos y Proyecto de Ley para la modificación del artículo 295 y la incorporación de los artículos 295 bis y 295 ter al Código Penal aprobado mediante Ley 1768 de 10 de marzo de 1997.</w:t>
      </w:r>
    </w:p>
    <w:p w14:paraId="5E2CE4CA" w14:textId="4CEAC1E7" w:rsidR="003B3362" w:rsidRPr="00613D53" w:rsidRDefault="009B79AE" w:rsidP="009B79AE">
      <w:pPr>
        <w:numPr>
          <w:ilvl w:val="0"/>
          <w:numId w:val="36"/>
        </w:numPr>
        <w:spacing w:after="0" w:line="240" w:lineRule="auto"/>
        <w:ind w:left="1440" w:right="72" w:hanging="720"/>
        <w:jc w:val="both"/>
        <w:rPr>
          <w:rFonts w:ascii="Cambria" w:eastAsia="Times New Roman" w:hAnsi="Cambria"/>
          <w:sz w:val="20"/>
          <w:szCs w:val="20"/>
          <w:lang w:val="es-ES_tradnl" w:eastAsia="es-ES_tradnl"/>
        </w:rPr>
      </w:pPr>
      <w:r w:rsidRPr="00613D53">
        <w:rPr>
          <w:rFonts w:ascii="Cambria" w:eastAsia="Times New Roman" w:hAnsi="Cambria"/>
          <w:sz w:val="20"/>
          <w:szCs w:val="20"/>
          <w:lang w:val="es-ES_tradnl" w:eastAsia="es-ES_tradnl"/>
        </w:rPr>
        <w:t>El Ministerio de Gobierno emitió el Instructivo MIN.GOB-INS.DESP No. 012/2023, dirigido a los servidores públicos de la Policía Boliviana, así como para la Dirección General de Régimen Penitenciario, con el objetivo de que dichos servidores públicos que tengan bajo su custodia personas privadas de la libertad, apliquen los procedimientos establecidos, enmarcando su accionar en la Constitución Política el Estado, normas y Tratados Internacionales en el marco de los Derechos Humanos, Ley Orgánica de la Policía Nacional, Manual de Técnicas Básicas de Intervención Policial en el contexto de los Derechos Humanos y normativa legal vigente.</w:t>
      </w:r>
    </w:p>
    <w:sectPr w:rsidR="003B3362" w:rsidRPr="00613D53" w:rsidSect="00D535F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D199" w14:textId="77777777" w:rsidR="001628AE" w:rsidRDefault="001628AE" w:rsidP="00A343FF">
      <w:pPr>
        <w:spacing w:after="0" w:line="240" w:lineRule="auto"/>
      </w:pPr>
      <w:r>
        <w:separator/>
      </w:r>
    </w:p>
  </w:endnote>
  <w:endnote w:type="continuationSeparator" w:id="0">
    <w:p w14:paraId="6C0C62D6" w14:textId="77777777" w:rsidR="001628AE" w:rsidRDefault="001628A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4A142B" w:rsidP="0016622B">
    <w:pPr>
      <w:pStyle w:val="Footer"/>
      <w:spacing w:line="360" w:lineRule="auto"/>
      <w:jc w:val="right"/>
    </w:pPr>
    <w:bookmarkStart w:id="53" w:name="_Hlk129090884"/>
    <w:bookmarkStart w:id="54" w:name="_Hlk129090885"/>
    <w:bookmarkStart w:id="55" w:name="_Hlk129091044"/>
    <w:bookmarkStart w:id="56" w:name="_Hlk129091045"/>
    <w:bookmarkStart w:id="57" w:name="_Hlk129091049"/>
    <w:bookmarkStart w:id="58" w:name="_Hlk129091050"/>
    <w:bookmarkStart w:id="59" w:name="_Hlk129091188"/>
    <w:bookmarkStart w:id="60" w:name="_Hlk129091189"/>
    <w:bookmarkStart w:id="61" w:name="_Hlk129091982"/>
    <w:bookmarkStart w:id="62" w:name="_Hlk129091983"/>
    <w:bookmarkStart w:id="63" w:name="_Hlk129092109"/>
    <w:bookmarkStart w:id="64" w:name="_Hlk129092110"/>
    <w:bookmarkStart w:id="65" w:name="_Hlk129092206"/>
    <w:bookmarkStart w:id="66" w:name="_Hlk129092207"/>
    <w:bookmarkStart w:id="67" w:name="_Hlk129092304"/>
    <w:bookmarkStart w:id="68" w:name="_Hlk129092305"/>
    <w:bookmarkStart w:id="69" w:name="_Hlk129092365"/>
    <w:bookmarkStart w:id="70" w:name="_Hlk129092366"/>
    <w:bookmarkStart w:id="71" w:name="_Hlk129092414"/>
    <w:bookmarkStart w:id="72" w:name="_Hlk129092415"/>
    <w:bookmarkStart w:id="73" w:name="_Hlk129092467"/>
    <w:bookmarkStart w:id="74" w:name="_Hlk129092468"/>
    <w:r>
      <w:rPr>
        <w:noProof/>
      </w:rPr>
      <w:pict w14:anchorId="760A5482">
        <v:rect id="_x0000_i1027" alt="" style="width:441.9pt;height:.05pt;mso-width-percent:0;mso-height-percent:0;mso-width-percent:0;mso-height-percent:0"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2"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6C728E51" w14:textId="77777777" w:rsidR="00986996" w:rsidRDefault="00986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2A23" w14:textId="77777777" w:rsidR="00BD37BE" w:rsidRDefault="00BD3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9E14" w14:textId="77777777" w:rsidR="001628AE" w:rsidRDefault="001628AE" w:rsidP="00A343FF">
      <w:pPr>
        <w:spacing w:after="0" w:line="240" w:lineRule="auto"/>
      </w:pPr>
      <w:r>
        <w:separator/>
      </w:r>
    </w:p>
  </w:footnote>
  <w:footnote w:type="continuationSeparator" w:id="0">
    <w:p w14:paraId="51606A7F" w14:textId="77777777" w:rsidR="001628AE" w:rsidRDefault="001628AE" w:rsidP="00A343FF">
      <w:pPr>
        <w:spacing w:after="0" w:line="240" w:lineRule="auto"/>
      </w:pPr>
      <w:r>
        <w:continuationSeparator/>
      </w:r>
    </w:p>
  </w:footnote>
  <w:footnote w:id="1">
    <w:p w14:paraId="673C7EC9" w14:textId="68B98B0E" w:rsidR="0069510D" w:rsidRPr="005F3AD4" w:rsidRDefault="002E7C4D" w:rsidP="0069510D">
      <w:pPr>
        <w:pStyle w:val="FootnoteText"/>
        <w:spacing w:after="0" w:line="240" w:lineRule="auto"/>
        <w:ind w:firstLine="709"/>
        <w:jc w:val="both"/>
        <w:rPr>
          <w:rFonts w:ascii="Cambria" w:hAnsi="Cambria"/>
          <w:color w:val="000000" w:themeColor="text1"/>
          <w:sz w:val="16"/>
          <w:szCs w:val="16"/>
          <w:lang w:val="es-MX" w:eastAsia="es-ES_tradnl"/>
        </w:rPr>
      </w:pPr>
      <w:r w:rsidRPr="00613D53">
        <w:rPr>
          <w:rStyle w:val="FootnoteReference"/>
          <w:rFonts w:ascii="Cambria" w:hAnsi="Cambria"/>
          <w:sz w:val="16"/>
          <w:szCs w:val="16"/>
        </w:rPr>
        <w:footnoteRef/>
      </w:r>
      <w:r w:rsidRPr="00613D53">
        <w:rPr>
          <w:rFonts w:ascii="Cambria" w:hAnsi="Cambria"/>
          <w:sz w:val="16"/>
          <w:szCs w:val="16"/>
          <w:lang w:val="es-ES"/>
        </w:rPr>
        <w:t xml:space="preserve"> C</w:t>
      </w:r>
      <w:r w:rsidR="001848BD" w:rsidRPr="00613D53">
        <w:rPr>
          <w:rFonts w:ascii="Cambria" w:hAnsi="Cambria"/>
          <w:sz w:val="16"/>
          <w:szCs w:val="16"/>
          <w:lang w:val="es-ES"/>
        </w:rPr>
        <w:t>IDH</w:t>
      </w:r>
      <w:r w:rsidR="00BC0C37" w:rsidRPr="00613D53">
        <w:rPr>
          <w:rFonts w:ascii="Cambria" w:hAnsi="Cambria"/>
          <w:sz w:val="16"/>
          <w:szCs w:val="16"/>
          <w:lang w:val="es-ES"/>
        </w:rPr>
        <w:t>.</w:t>
      </w:r>
      <w:r w:rsidR="001848BD" w:rsidRPr="00613D53">
        <w:rPr>
          <w:rFonts w:ascii="Cambria" w:hAnsi="Cambria"/>
          <w:sz w:val="16"/>
          <w:szCs w:val="16"/>
          <w:lang w:val="es-ES"/>
        </w:rPr>
        <w:t xml:space="preserve"> </w:t>
      </w:r>
      <w:r w:rsidR="001848BD" w:rsidRPr="00613D53">
        <w:rPr>
          <w:rFonts w:ascii="Cambria" w:hAnsi="Cambria"/>
          <w:color w:val="000000" w:themeColor="text1"/>
          <w:sz w:val="16"/>
          <w:szCs w:val="16"/>
          <w:lang w:val="es-MX" w:eastAsia="es-ES_tradnl"/>
        </w:rPr>
        <w:t xml:space="preserve">Informe No. 270/23, </w:t>
      </w:r>
      <w:r w:rsidR="0069510D" w:rsidRPr="00613D53">
        <w:rPr>
          <w:rFonts w:ascii="Cambria" w:hAnsi="Cambria"/>
          <w:color w:val="000000" w:themeColor="text1"/>
          <w:sz w:val="16"/>
          <w:szCs w:val="16"/>
          <w:lang w:val="es-MX" w:eastAsia="es-ES_tradnl"/>
        </w:rPr>
        <w:t>Caso 11.426</w:t>
      </w:r>
      <w:r w:rsidR="001848BD" w:rsidRPr="00613D53">
        <w:rPr>
          <w:rFonts w:ascii="Cambria" w:hAnsi="Cambria"/>
          <w:color w:val="000000" w:themeColor="text1"/>
          <w:sz w:val="16"/>
          <w:szCs w:val="16"/>
          <w:lang w:val="es-MX" w:eastAsia="es-ES_tradnl"/>
        </w:rPr>
        <w:t xml:space="preserve">. Solución Amistosa. </w:t>
      </w:r>
      <w:r w:rsidR="0069510D" w:rsidRPr="00613D53">
        <w:rPr>
          <w:rFonts w:ascii="Cambria" w:hAnsi="Cambria"/>
          <w:bCs/>
          <w:color w:val="000000" w:themeColor="text1"/>
          <w:sz w:val="16"/>
          <w:szCs w:val="16"/>
          <w:lang w:val="es-MX" w:eastAsia="es-ES_tradnl"/>
        </w:rPr>
        <w:t>Marcela Alejandra Porco</w:t>
      </w:r>
      <w:r w:rsidR="001848BD" w:rsidRPr="00613D53">
        <w:rPr>
          <w:rFonts w:ascii="Cambria" w:hAnsi="Cambria"/>
          <w:color w:val="000000" w:themeColor="text1"/>
          <w:sz w:val="16"/>
          <w:szCs w:val="16"/>
          <w:lang w:val="es-MX" w:eastAsia="es-ES_tradnl"/>
        </w:rPr>
        <w:t xml:space="preserve">. </w:t>
      </w:r>
      <w:r w:rsidR="0069510D" w:rsidRPr="00613D53">
        <w:rPr>
          <w:rFonts w:ascii="Cambria" w:hAnsi="Cambria"/>
          <w:color w:val="000000" w:themeColor="text1"/>
          <w:sz w:val="16"/>
          <w:szCs w:val="16"/>
          <w:lang w:val="es-MX" w:eastAsia="es-ES_tradnl"/>
        </w:rPr>
        <w:t>Bolivia</w:t>
      </w:r>
      <w:r w:rsidR="001848BD" w:rsidRPr="00613D53">
        <w:rPr>
          <w:rFonts w:ascii="Cambria" w:hAnsi="Cambria"/>
          <w:color w:val="000000" w:themeColor="text1"/>
          <w:sz w:val="16"/>
          <w:szCs w:val="16"/>
          <w:lang w:val="es-MX" w:eastAsia="es-ES_tradnl"/>
        </w:rPr>
        <w:t xml:space="preserve">. </w:t>
      </w:r>
      <w:r w:rsidR="0069510D" w:rsidRPr="00613D53">
        <w:rPr>
          <w:rFonts w:ascii="Cambria" w:hAnsi="Cambria"/>
          <w:color w:val="000000" w:themeColor="text1"/>
          <w:sz w:val="16"/>
          <w:szCs w:val="16"/>
          <w:lang w:val="es-MX" w:eastAsia="es-ES_tradnl"/>
        </w:rPr>
        <w:t>30</w:t>
      </w:r>
      <w:r w:rsidR="001848BD" w:rsidRPr="00613D53">
        <w:rPr>
          <w:rFonts w:ascii="Cambria" w:hAnsi="Cambria"/>
          <w:color w:val="000000" w:themeColor="text1"/>
          <w:sz w:val="16"/>
          <w:szCs w:val="16"/>
          <w:lang w:val="es-MX" w:eastAsia="es-ES_tradnl"/>
        </w:rPr>
        <w:t xml:space="preserve"> de </w:t>
      </w:r>
      <w:r w:rsidR="0069510D" w:rsidRPr="00613D53">
        <w:rPr>
          <w:rFonts w:ascii="Cambria" w:hAnsi="Cambria"/>
          <w:color w:val="000000" w:themeColor="text1"/>
          <w:sz w:val="16"/>
          <w:szCs w:val="16"/>
          <w:lang w:val="es-MX" w:eastAsia="es-ES_tradnl"/>
        </w:rPr>
        <w:t>noviembre</w:t>
      </w:r>
      <w:r w:rsidR="001848BD" w:rsidRPr="00613D53">
        <w:rPr>
          <w:rFonts w:ascii="Cambria" w:hAnsi="Cambria"/>
          <w:color w:val="000000" w:themeColor="text1"/>
          <w:sz w:val="16"/>
          <w:szCs w:val="16"/>
          <w:lang w:val="es-MX" w:eastAsia="es-ES_tradnl"/>
        </w:rPr>
        <w:t xml:space="preserve"> de 202</w:t>
      </w:r>
      <w:r w:rsidR="0069510D" w:rsidRPr="00613D53">
        <w:rPr>
          <w:rFonts w:ascii="Cambria" w:hAnsi="Cambria"/>
          <w:color w:val="000000" w:themeColor="text1"/>
          <w:sz w:val="16"/>
          <w:szCs w:val="16"/>
          <w:lang w:val="es-MX" w:eastAsia="es-ES_tradnl"/>
        </w:rPr>
        <w:t>3</w:t>
      </w:r>
      <w:r w:rsidR="001848BD" w:rsidRPr="00613D53">
        <w:rPr>
          <w:rFonts w:ascii="Cambria" w:hAnsi="Cambria"/>
          <w:color w:val="000000" w:themeColor="text1"/>
          <w:sz w:val="16"/>
          <w:szCs w:val="16"/>
          <w:lang w:val="es-MX" w:eastAsia="es-ES_tradnl"/>
        </w:rPr>
        <w:t>.</w:t>
      </w:r>
      <w:r w:rsidR="0069510D" w:rsidRPr="00613D53">
        <w:rPr>
          <w:rFonts w:ascii="Cambria" w:hAnsi="Cambria"/>
          <w:color w:val="000000" w:themeColor="text1"/>
          <w:sz w:val="16"/>
          <w:szCs w:val="16"/>
          <w:lang w:val="es-MX" w:eastAsia="es-ES_tradnl"/>
        </w:rPr>
        <w:t xml:space="preserve"> </w:t>
      </w:r>
      <w:hyperlink r:id="rId1" w:history="1">
        <w:r w:rsidR="0069510D" w:rsidRPr="00613D53">
          <w:rPr>
            <w:rStyle w:val="Hyperlink"/>
            <w:rFonts w:ascii="Cambria" w:hAnsi="Cambria"/>
            <w:sz w:val="16"/>
            <w:szCs w:val="16"/>
            <w:lang w:val="es-MX" w:eastAsia="es-ES_tradnl"/>
          </w:rPr>
          <w:t>https://www.oas.org/es/cidh/decisiones/2023/BO%20SA%2011.426%20-ESP_FINAL%20WEB.pdf</w:t>
        </w:r>
      </w:hyperlink>
      <w:r w:rsidR="0069510D" w:rsidRPr="00613D53">
        <w:rPr>
          <w:rFonts w:ascii="Cambria" w:hAnsi="Cambria"/>
          <w:color w:val="000000" w:themeColor="text1"/>
          <w:sz w:val="16"/>
          <w:szCs w:val="16"/>
          <w:lang w:val="es-MX" w:eastAsia="es-ES_tradnl"/>
        </w:rPr>
        <w:t>.</w:t>
      </w:r>
    </w:p>
  </w:footnote>
  <w:footnote w:id="2">
    <w:p w14:paraId="586C369D" w14:textId="1366F0CC" w:rsidR="003B3362" w:rsidRPr="00435B4D" w:rsidRDefault="003B3362" w:rsidP="00254A60">
      <w:pPr>
        <w:pStyle w:val="FootnoteText"/>
        <w:spacing w:after="0" w:line="240" w:lineRule="auto"/>
        <w:ind w:firstLine="709"/>
        <w:jc w:val="both"/>
        <w:rPr>
          <w:rFonts w:ascii="Cambria" w:hAnsi="Cambria"/>
          <w:color w:val="000000" w:themeColor="text1"/>
          <w:sz w:val="16"/>
          <w:szCs w:val="16"/>
          <w:lang w:val="es-MX"/>
        </w:rPr>
      </w:pPr>
      <w:r w:rsidRPr="005F3AD4">
        <w:rPr>
          <w:rStyle w:val="FootnoteReference"/>
          <w:rFonts w:ascii="Cambria" w:hAnsi="Cambria"/>
          <w:color w:val="000000" w:themeColor="text1"/>
          <w:sz w:val="16"/>
          <w:szCs w:val="16"/>
        </w:rPr>
        <w:footnoteRef/>
      </w:r>
      <w:r w:rsidRPr="005F3AD4">
        <w:rPr>
          <w:rFonts w:ascii="Cambria" w:hAnsi="Cambria"/>
          <w:color w:val="000000" w:themeColor="text1"/>
          <w:sz w:val="16"/>
          <w:szCs w:val="16"/>
          <w:lang w:val="es-US"/>
        </w:rPr>
        <w:t xml:space="preserve"> </w:t>
      </w:r>
      <w:r w:rsidR="0069510D" w:rsidRPr="00613D53">
        <w:rPr>
          <w:rFonts w:ascii="Cambria" w:hAnsi="Cambria"/>
          <w:sz w:val="16"/>
          <w:szCs w:val="16"/>
          <w:lang w:val="es-ES"/>
        </w:rPr>
        <w:t>CIDH</w:t>
      </w:r>
      <w:r w:rsidR="00BC0C37" w:rsidRPr="00613D53">
        <w:rPr>
          <w:rFonts w:ascii="Cambria" w:hAnsi="Cambria"/>
          <w:sz w:val="16"/>
          <w:szCs w:val="16"/>
          <w:lang w:val="es-ES"/>
        </w:rPr>
        <w:t>.</w:t>
      </w:r>
      <w:r w:rsidR="0069510D" w:rsidRPr="00613D53">
        <w:rPr>
          <w:rFonts w:ascii="Cambria" w:hAnsi="Cambria"/>
          <w:sz w:val="16"/>
          <w:szCs w:val="16"/>
          <w:lang w:val="es-ES"/>
        </w:rPr>
        <w:t xml:space="preserve"> </w:t>
      </w:r>
      <w:r w:rsidR="0069510D" w:rsidRPr="00613D53">
        <w:rPr>
          <w:rFonts w:ascii="Cambria" w:hAnsi="Cambria"/>
          <w:color w:val="000000" w:themeColor="text1"/>
          <w:sz w:val="16"/>
          <w:szCs w:val="16"/>
          <w:lang w:val="es-MX" w:eastAsia="es-ES_tradnl"/>
        </w:rPr>
        <w:t xml:space="preserve">Informe No. 270/23, Caso 11.426. Solución Amistosa. </w:t>
      </w:r>
      <w:r w:rsidR="0069510D" w:rsidRPr="00613D53">
        <w:rPr>
          <w:rFonts w:ascii="Cambria" w:hAnsi="Cambria"/>
          <w:bCs/>
          <w:color w:val="000000" w:themeColor="text1"/>
          <w:sz w:val="16"/>
          <w:szCs w:val="16"/>
          <w:lang w:val="es-MX" w:eastAsia="es-ES_tradnl"/>
        </w:rPr>
        <w:t>Marcela Alejandra Porco</w:t>
      </w:r>
      <w:r w:rsidR="0069510D" w:rsidRPr="00613D53">
        <w:rPr>
          <w:rFonts w:ascii="Cambria" w:hAnsi="Cambria"/>
          <w:color w:val="000000" w:themeColor="text1"/>
          <w:sz w:val="16"/>
          <w:szCs w:val="16"/>
          <w:lang w:val="es-MX" w:eastAsia="es-ES_tradnl"/>
        </w:rPr>
        <w:t xml:space="preserve">. Bolivia. 30 de noviembre de 2023. </w:t>
      </w:r>
      <w:hyperlink r:id="rId2" w:history="1">
        <w:r w:rsidR="0069510D" w:rsidRPr="00613D53">
          <w:rPr>
            <w:rStyle w:val="Hyperlink"/>
            <w:rFonts w:ascii="Cambria" w:hAnsi="Cambria"/>
            <w:sz w:val="16"/>
            <w:szCs w:val="16"/>
            <w:lang w:val="es-MX" w:eastAsia="es-ES_tradnl"/>
          </w:rPr>
          <w:t>https://www.oas.org/es/cidh/decisiones/2023/BO%20SA%2011.426%20-ESP_FINAL%20WEB.pdf</w:t>
        </w:r>
      </w:hyperlink>
      <w:r w:rsidR="0069510D" w:rsidRPr="00613D53">
        <w:rPr>
          <w:rFonts w:ascii="Cambria" w:hAnsi="Cambria"/>
          <w:color w:val="000000" w:themeColor="text1"/>
          <w:sz w:val="16"/>
          <w:szCs w:val="16"/>
          <w:lang w:val="es-MX" w:eastAsia="es-ES_tradnl"/>
        </w:rPr>
        <w:t>.</w:t>
      </w:r>
    </w:p>
  </w:footnote>
  <w:footnote w:id="3">
    <w:p w14:paraId="4A780ED5" w14:textId="484050E9" w:rsidR="00975C5B" w:rsidRPr="005F3AD4" w:rsidRDefault="00975C5B" w:rsidP="00254A60">
      <w:pPr>
        <w:pStyle w:val="FootnoteText"/>
        <w:spacing w:after="0" w:line="240" w:lineRule="auto"/>
        <w:ind w:firstLine="709"/>
        <w:jc w:val="both"/>
        <w:rPr>
          <w:rFonts w:ascii="Cambria" w:hAnsi="Cambria"/>
          <w:color w:val="000000" w:themeColor="text1"/>
          <w:sz w:val="16"/>
          <w:szCs w:val="16"/>
          <w:lang w:val="es-MX"/>
        </w:rPr>
      </w:pPr>
      <w:r w:rsidRPr="005F3AD4">
        <w:rPr>
          <w:rStyle w:val="FootnoteReference"/>
          <w:rFonts w:ascii="Cambria" w:hAnsi="Cambria"/>
          <w:color w:val="000000" w:themeColor="text1"/>
          <w:sz w:val="16"/>
          <w:szCs w:val="16"/>
        </w:rPr>
        <w:footnoteRef/>
      </w:r>
      <w:r w:rsidRPr="005F3AD4">
        <w:rPr>
          <w:rFonts w:ascii="Cambria" w:hAnsi="Cambria"/>
          <w:color w:val="000000" w:themeColor="text1"/>
          <w:sz w:val="16"/>
          <w:szCs w:val="16"/>
          <w:lang w:val="es-ES"/>
        </w:rPr>
        <w:t xml:space="preserve"> </w:t>
      </w:r>
      <w:r w:rsidRPr="00613D53">
        <w:rPr>
          <w:rFonts w:ascii="Cambria" w:hAnsi="Cambria"/>
          <w:sz w:val="16"/>
          <w:szCs w:val="16"/>
          <w:lang w:val="es-ES"/>
        </w:rPr>
        <w:t>CIDH</w:t>
      </w:r>
      <w:r w:rsidR="00BC0C37" w:rsidRPr="00613D53">
        <w:rPr>
          <w:rFonts w:ascii="Cambria" w:hAnsi="Cambria"/>
          <w:sz w:val="16"/>
          <w:szCs w:val="16"/>
          <w:lang w:val="es-ES"/>
        </w:rPr>
        <w:t>.</w:t>
      </w:r>
      <w:r w:rsidRPr="00613D53">
        <w:rPr>
          <w:rFonts w:ascii="Cambria" w:hAnsi="Cambria"/>
          <w:sz w:val="16"/>
          <w:szCs w:val="16"/>
          <w:lang w:val="es-ES"/>
        </w:rPr>
        <w:t xml:space="preserve"> </w:t>
      </w:r>
      <w:r w:rsidRPr="00613D53">
        <w:rPr>
          <w:rFonts w:ascii="Cambria" w:hAnsi="Cambria"/>
          <w:color w:val="000000" w:themeColor="text1"/>
          <w:sz w:val="16"/>
          <w:szCs w:val="16"/>
          <w:lang w:val="es-MX" w:eastAsia="es-ES_tradnl"/>
        </w:rPr>
        <w:t xml:space="preserve">Informe No. 270/23, Caso 11.426. Solución Amistosa. </w:t>
      </w:r>
      <w:r w:rsidRPr="00613D53">
        <w:rPr>
          <w:rFonts w:ascii="Cambria" w:hAnsi="Cambria"/>
          <w:bCs/>
          <w:color w:val="000000" w:themeColor="text1"/>
          <w:sz w:val="16"/>
          <w:szCs w:val="16"/>
          <w:lang w:val="es-MX" w:eastAsia="es-ES_tradnl"/>
        </w:rPr>
        <w:t>Marcela Alejandra Porco</w:t>
      </w:r>
      <w:r w:rsidRPr="00613D53">
        <w:rPr>
          <w:rFonts w:ascii="Cambria" w:hAnsi="Cambria"/>
          <w:color w:val="000000" w:themeColor="text1"/>
          <w:sz w:val="16"/>
          <w:szCs w:val="16"/>
          <w:lang w:val="es-MX" w:eastAsia="es-ES_tradnl"/>
        </w:rPr>
        <w:t xml:space="preserve">. Bolivia. 30 de noviembre de 2023. </w:t>
      </w:r>
      <w:hyperlink r:id="rId3" w:history="1">
        <w:r w:rsidRPr="00613D53">
          <w:rPr>
            <w:rStyle w:val="Hyperlink"/>
            <w:rFonts w:ascii="Cambria" w:hAnsi="Cambria"/>
            <w:sz w:val="16"/>
            <w:szCs w:val="16"/>
            <w:lang w:val="es-MX" w:eastAsia="es-ES_tradnl"/>
          </w:rPr>
          <w:t>https://www.oas.org/es/cidh/decisiones/2023/BO%20SA%2011.426%20-ESP_FINAL%20WEB.pdf</w:t>
        </w:r>
      </w:hyperlink>
      <w:r w:rsidRPr="00613D53">
        <w:rPr>
          <w:rFonts w:ascii="Cambria" w:hAnsi="Cambria"/>
          <w:color w:val="000000" w:themeColor="text1"/>
          <w:sz w:val="16"/>
          <w:szCs w:val="16"/>
          <w:lang w:val="es-MX" w:eastAsia="es-ES_tradnl"/>
        </w:rPr>
        <w:t>.</w:t>
      </w:r>
    </w:p>
  </w:footnote>
  <w:footnote w:id="4">
    <w:p w14:paraId="5832CB3B" w14:textId="58663A23" w:rsidR="000E1F3F" w:rsidRPr="00435B4D" w:rsidRDefault="000E1F3F" w:rsidP="000E1F3F">
      <w:pPr>
        <w:pStyle w:val="FootnoteText"/>
        <w:spacing w:line="240" w:lineRule="auto"/>
        <w:ind w:firstLine="709"/>
        <w:jc w:val="both"/>
        <w:rPr>
          <w:rFonts w:ascii="Cambria" w:hAnsi="Cambria" w:cs="Calibri"/>
          <w:sz w:val="16"/>
          <w:szCs w:val="16"/>
          <w:lang w:val="es-MX"/>
        </w:rPr>
      </w:pPr>
      <w:r w:rsidRPr="005F3AD4">
        <w:rPr>
          <w:rStyle w:val="FootnoteReference"/>
          <w:rFonts w:ascii="Cambria" w:hAnsi="Cambria" w:cs="Calibri"/>
          <w:sz w:val="16"/>
          <w:szCs w:val="16"/>
        </w:rPr>
        <w:footnoteRef/>
      </w:r>
      <w:r w:rsidRPr="005F3AD4">
        <w:rPr>
          <w:rFonts w:ascii="Cambria" w:hAnsi="Cambria" w:cs="Calibri"/>
          <w:sz w:val="16"/>
          <w:szCs w:val="16"/>
          <w:lang w:val="es-CO"/>
        </w:rPr>
        <w:t xml:space="preserve"> </w:t>
      </w:r>
      <w:r w:rsidRPr="00613D53">
        <w:rPr>
          <w:rFonts w:ascii="Cambria" w:hAnsi="Cambria" w:cs="Calibri"/>
          <w:sz w:val="16"/>
          <w:szCs w:val="16"/>
          <w:lang w:val="es-ES"/>
        </w:rPr>
        <w:t>CIDH</w:t>
      </w:r>
      <w:r w:rsidR="00BC0C37" w:rsidRPr="00613D53">
        <w:rPr>
          <w:rFonts w:ascii="Cambria" w:hAnsi="Cambria" w:cs="Calibri"/>
          <w:sz w:val="16"/>
          <w:szCs w:val="16"/>
          <w:lang w:val="es-ES"/>
        </w:rPr>
        <w:t xml:space="preserve">. </w:t>
      </w:r>
      <w:r w:rsidRPr="00613D53">
        <w:rPr>
          <w:rFonts w:ascii="Cambria" w:hAnsi="Cambria" w:cs="Calibri"/>
          <w:color w:val="000000" w:themeColor="text1"/>
          <w:sz w:val="16"/>
          <w:szCs w:val="16"/>
          <w:lang w:val="es-MX" w:eastAsia="es-ES_tradnl"/>
        </w:rPr>
        <w:t xml:space="preserve">Informe No. 270/23, Caso 11.426. Solución Amistosa. </w:t>
      </w:r>
      <w:r w:rsidRPr="00613D53">
        <w:rPr>
          <w:rFonts w:ascii="Cambria" w:hAnsi="Cambria" w:cs="Calibri"/>
          <w:bCs/>
          <w:color w:val="000000" w:themeColor="text1"/>
          <w:sz w:val="16"/>
          <w:szCs w:val="16"/>
          <w:lang w:val="es-MX" w:eastAsia="es-ES_tradnl"/>
        </w:rPr>
        <w:t>Marcela Alejandra Porco</w:t>
      </w:r>
      <w:r w:rsidRPr="00613D53">
        <w:rPr>
          <w:rFonts w:ascii="Cambria" w:hAnsi="Cambria" w:cs="Calibri"/>
          <w:color w:val="000000" w:themeColor="text1"/>
          <w:sz w:val="16"/>
          <w:szCs w:val="16"/>
          <w:lang w:val="es-MX" w:eastAsia="es-ES_tradnl"/>
        </w:rPr>
        <w:t xml:space="preserve">. Bolivia. 30 de noviembre de 2023. </w:t>
      </w:r>
      <w:hyperlink r:id="rId4" w:history="1">
        <w:r w:rsidRPr="00613D53">
          <w:rPr>
            <w:rStyle w:val="Hyperlink"/>
            <w:rFonts w:ascii="Cambria" w:hAnsi="Cambria" w:cs="Calibri"/>
            <w:sz w:val="16"/>
            <w:szCs w:val="16"/>
            <w:lang w:val="es-MX" w:eastAsia="es-ES_tradnl"/>
          </w:rPr>
          <w:t>https://www.oas.org/es/cidh/decisiones/2023/BO%20SA%2011.426%20-ESP_FINAL%20WEB.pdf</w:t>
        </w:r>
      </w:hyperlink>
      <w:r w:rsidRPr="00613D53">
        <w:rPr>
          <w:rFonts w:ascii="Cambria" w:hAnsi="Cambria" w:cs="Calibri"/>
          <w:color w:val="000000" w:themeColor="text1"/>
          <w:sz w:val="16"/>
          <w:szCs w:val="16"/>
          <w:lang w:val="es-MX"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1" w:name="_Hlk129090305"/>
    <w:bookmarkStart w:id="2" w:name="_Hlk129090306"/>
    <w:bookmarkStart w:id="3" w:name="_Hlk129090399"/>
    <w:bookmarkStart w:id="4" w:name="_Hlk129090400"/>
    <w:bookmarkStart w:id="5" w:name="_Hlk129090413"/>
    <w:bookmarkStart w:id="6" w:name="_Hlk129090414"/>
    <w:bookmarkStart w:id="7" w:name="_Hlk129090871"/>
    <w:bookmarkStart w:id="8" w:name="_Hlk129090872"/>
    <w:bookmarkStart w:id="9" w:name="_Hlk129091030"/>
    <w:bookmarkStart w:id="10" w:name="_Hlk129091031"/>
    <w:bookmarkStart w:id="11" w:name="_Hlk129091177"/>
    <w:bookmarkStart w:id="12" w:name="_Hlk129091178"/>
    <w:bookmarkStart w:id="13" w:name="_Hlk129091943"/>
    <w:bookmarkStart w:id="14" w:name="_Hlk129091944"/>
    <w:bookmarkStart w:id="15" w:name="_Hlk129091951"/>
    <w:bookmarkStart w:id="16" w:name="_Hlk129091952"/>
    <w:bookmarkStart w:id="17" w:name="_Hlk129091955"/>
    <w:bookmarkStart w:id="18" w:name="_Hlk129091956"/>
    <w:bookmarkStart w:id="19" w:name="_Hlk129091959"/>
    <w:bookmarkStart w:id="20" w:name="_Hlk129091960"/>
    <w:bookmarkStart w:id="21" w:name="_Hlk129091963"/>
    <w:bookmarkStart w:id="22" w:name="_Hlk129091964"/>
    <w:bookmarkStart w:id="23" w:name="_Hlk129091966"/>
    <w:bookmarkStart w:id="24" w:name="_Hlk129091967"/>
    <w:bookmarkStart w:id="25" w:name="_Hlk129091970"/>
    <w:bookmarkStart w:id="26" w:name="_Hlk129091971"/>
    <w:bookmarkStart w:id="27" w:name="_Hlk129092063"/>
    <w:bookmarkStart w:id="28" w:name="_Hlk129092064"/>
    <w:r>
      <w:rPr>
        <w:noProof/>
        <w:lang w:val="es-ES_tradnl"/>
      </w:rPr>
      <w:drawing>
        <wp:inline distT="0" distB="0" distL="0" distR="0" wp14:anchorId="2DE3BD4C" wp14:editId="34D3560F">
          <wp:extent cx="2286000" cy="118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4A142B" w:rsidP="00786A91">
    <w:pPr>
      <w:pStyle w:val="Header"/>
    </w:pPr>
    <w:r>
      <w:rPr>
        <w:noProof/>
      </w:rPr>
      <w:pict w14:anchorId="14E1C735">
        <v:rect id="_x0000_i1025" alt="" style="width:441.9pt;height:.05pt;mso-width-percent:0;mso-height-percent:0;mso-width-percent:0;mso-height-percent:0" o:hralign="center" o:hrstd="t" o:hr="t" fillcolor="#a0a0a0" stroked="f"/>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9" w:name="_Hlk129090378"/>
    <w:bookmarkStart w:id="30" w:name="_Hlk129090379"/>
    <w:bookmarkStart w:id="31" w:name="_Hlk129090860"/>
    <w:bookmarkStart w:id="32" w:name="_Hlk129090861"/>
    <w:bookmarkStart w:id="33" w:name="_Hlk129091020"/>
    <w:bookmarkStart w:id="34" w:name="_Hlk129091021"/>
    <w:bookmarkStart w:id="35" w:name="_Hlk129091166"/>
    <w:bookmarkStart w:id="36" w:name="_Hlk129091167"/>
    <w:bookmarkStart w:id="37" w:name="_Hlk129091892"/>
    <w:bookmarkStart w:id="38" w:name="_Hlk129091893"/>
    <w:bookmarkStart w:id="39" w:name="_Hlk129091899"/>
    <w:bookmarkStart w:id="40" w:name="_Hlk129091900"/>
    <w:bookmarkStart w:id="41" w:name="_Hlk129091905"/>
    <w:bookmarkStart w:id="42" w:name="_Hlk129091906"/>
    <w:bookmarkStart w:id="43" w:name="_Hlk129091911"/>
    <w:bookmarkStart w:id="44" w:name="_Hlk129091912"/>
    <w:bookmarkStart w:id="45" w:name="_Hlk129091916"/>
    <w:bookmarkStart w:id="46" w:name="_Hlk129091917"/>
    <w:bookmarkStart w:id="47" w:name="_Hlk129091922"/>
    <w:bookmarkStart w:id="48" w:name="_Hlk129091923"/>
    <w:bookmarkStart w:id="49" w:name="_Hlk129091926"/>
    <w:bookmarkStart w:id="50" w:name="_Hlk129091927"/>
    <w:bookmarkStart w:id="51" w:name="_Hlk129092049"/>
    <w:bookmarkStart w:id="52" w:name="_Hlk129092050"/>
    <w:r w:rsidRPr="008A5CB5">
      <w:rPr>
        <w:noProof/>
      </w:rPr>
      <w:drawing>
        <wp:inline distT="0" distB="0" distL="0" distR="0" wp14:anchorId="56BF2400" wp14:editId="6FF8564F">
          <wp:extent cx="2345055" cy="457200"/>
          <wp:effectExtent l="0" t="0" r="0" b="0"/>
          <wp:docPr id="10"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4A142B" w:rsidP="00986996">
    <w:pPr>
      <w:pStyle w:val="Header"/>
    </w:pPr>
    <w:r>
      <w:rPr>
        <w:noProof/>
      </w:rPr>
      <w:pict w14:anchorId="6C61DD87">
        <v:rect id="_x0000_i1026" alt="" style="width:441.9pt;height:.05pt;mso-width-percent:0;mso-height-percent:0;mso-width-percent:0;mso-height-percent:0" o:hralign="center" o:hrstd="t" o:hr="t" fillcolor="#a0a0a0" stroked="f"/>
      </w:pic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F74B7"/>
    <w:multiLevelType w:val="hybridMultilevel"/>
    <w:tmpl w:val="E0A0E558"/>
    <w:lvl w:ilvl="0" w:tplc="5B9E3666">
      <w:start w:val="1"/>
      <w:numFmt w:val="upperRoman"/>
      <w:lvlText w:val="%1."/>
      <w:lvlJc w:val="righ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4"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5"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A242F"/>
    <w:multiLevelType w:val="hybridMultilevel"/>
    <w:tmpl w:val="D9B6AF6A"/>
    <w:lvl w:ilvl="0" w:tplc="F474BAB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2C576A"/>
    <w:multiLevelType w:val="hybridMultilevel"/>
    <w:tmpl w:val="DB7E319E"/>
    <w:lvl w:ilvl="0" w:tplc="FFFFFFFF">
      <w:start w:val="1"/>
      <w:numFmt w:val="decimal"/>
      <w:lvlText w:val="%1."/>
      <w:lvlJc w:val="left"/>
      <w:pPr>
        <w:ind w:left="1080" w:hanging="360"/>
      </w:pPr>
      <w:rPr>
        <w:rFonts w:ascii="Cambria" w:hAnsi="Cambria"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8" w15:restartNumberingAfterBreak="0">
    <w:nsid w:val="3D6E6975"/>
    <w:multiLevelType w:val="hybridMultilevel"/>
    <w:tmpl w:val="CD1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2D45844"/>
    <w:multiLevelType w:val="hybridMultilevel"/>
    <w:tmpl w:val="C1509A42"/>
    <w:lvl w:ilvl="0" w:tplc="5B9E3666">
      <w:start w:val="1"/>
      <w:numFmt w:val="upperRoman"/>
      <w:lvlText w:val="%1."/>
      <w:lvlJc w:val="right"/>
      <w:pPr>
        <w:ind w:left="108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7F1C21"/>
    <w:multiLevelType w:val="hybridMultilevel"/>
    <w:tmpl w:val="AA7256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5"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7"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2"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1"/>
  </w:num>
  <w:num w:numId="2" w16cid:durableId="1198784672">
    <w:abstractNumId w:val="4"/>
  </w:num>
  <w:num w:numId="3" w16cid:durableId="946815819">
    <w:abstractNumId w:val="40"/>
  </w:num>
  <w:num w:numId="4" w16cid:durableId="1735083488">
    <w:abstractNumId w:val="23"/>
  </w:num>
  <w:num w:numId="5" w16cid:durableId="1809080309">
    <w:abstractNumId w:val="20"/>
  </w:num>
  <w:num w:numId="6" w16cid:durableId="2000111282">
    <w:abstractNumId w:val="43"/>
  </w:num>
  <w:num w:numId="7" w16cid:durableId="1182233948">
    <w:abstractNumId w:val="10"/>
  </w:num>
  <w:num w:numId="8" w16cid:durableId="653609088">
    <w:abstractNumId w:val="36"/>
  </w:num>
  <w:num w:numId="9" w16cid:durableId="263657786">
    <w:abstractNumId w:val="12"/>
  </w:num>
  <w:num w:numId="10" w16cid:durableId="1629429028">
    <w:abstractNumId w:val="3"/>
  </w:num>
  <w:num w:numId="11" w16cid:durableId="1415277257">
    <w:abstractNumId w:val="9"/>
  </w:num>
  <w:num w:numId="12" w16cid:durableId="98719486">
    <w:abstractNumId w:val="11"/>
  </w:num>
  <w:num w:numId="13" w16cid:durableId="643854056">
    <w:abstractNumId w:val="34"/>
  </w:num>
  <w:num w:numId="14" w16cid:durableId="1517694182">
    <w:abstractNumId w:val="15"/>
  </w:num>
  <w:num w:numId="15" w16cid:durableId="815797891">
    <w:abstractNumId w:val="39"/>
  </w:num>
  <w:num w:numId="16" w16cid:durableId="251282083">
    <w:abstractNumId w:val="7"/>
  </w:num>
  <w:num w:numId="17" w16cid:durableId="1185630687">
    <w:abstractNumId w:val="24"/>
  </w:num>
  <w:num w:numId="18" w16cid:durableId="938754063">
    <w:abstractNumId w:val="31"/>
  </w:num>
  <w:num w:numId="19" w16cid:durableId="287009962">
    <w:abstractNumId w:val="27"/>
  </w:num>
  <w:num w:numId="20" w16cid:durableId="1427114931">
    <w:abstractNumId w:val="0"/>
  </w:num>
  <w:num w:numId="21" w16cid:durableId="1996837994">
    <w:abstractNumId w:val="19"/>
  </w:num>
  <w:num w:numId="22" w16cid:durableId="1249198344">
    <w:abstractNumId w:val="1"/>
  </w:num>
  <w:num w:numId="23" w16cid:durableId="1945647392">
    <w:abstractNumId w:val="29"/>
  </w:num>
  <w:num w:numId="24" w16cid:durableId="537162661">
    <w:abstractNumId w:val="33"/>
  </w:num>
  <w:num w:numId="25" w16cid:durableId="1989938239">
    <w:abstractNumId w:val="21"/>
  </w:num>
  <w:num w:numId="26" w16cid:durableId="1967273059">
    <w:abstractNumId w:val="37"/>
  </w:num>
  <w:num w:numId="27" w16cid:durableId="1065761970">
    <w:abstractNumId w:val="16"/>
  </w:num>
  <w:num w:numId="28" w16cid:durableId="45295993">
    <w:abstractNumId w:val="5"/>
  </w:num>
  <w:num w:numId="29" w16cid:durableId="698167985">
    <w:abstractNumId w:val="25"/>
  </w:num>
  <w:num w:numId="30" w16cid:durableId="1709643113">
    <w:abstractNumId w:val="38"/>
  </w:num>
  <w:num w:numId="31" w16cid:durableId="934480746">
    <w:abstractNumId w:val="35"/>
  </w:num>
  <w:num w:numId="32" w16cid:durableId="541211672">
    <w:abstractNumId w:val="13"/>
  </w:num>
  <w:num w:numId="33" w16cid:durableId="1345130465">
    <w:abstractNumId w:val="30"/>
  </w:num>
  <w:num w:numId="34" w16cid:durableId="1757743752">
    <w:abstractNumId w:val="28"/>
  </w:num>
  <w:num w:numId="35" w16cid:durableId="83184206">
    <w:abstractNumId w:val="6"/>
  </w:num>
  <w:num w:numId="36" w16cid:durableId="1037505896">
    <w:abstractNumId w:val="42"/>
  </w:num>
  <w:num w:numId="37" w16cid:durableId="1162084678">
    <w:abstractNumId w:val="17"/>
  </w:num>
  <w:num w:numId="38" w16cid:durableId="247926190">
    <w:abstractNumId w:val="22"/>
  </w:num>
  <w:num w:numId="39" w16cid:durableId="78529982">
    <w:abstractNumId w:val="14"/>
  </w:num>
  <w:num w:numId="40" w16cid:durableId="259264336">
    <w:abstractNumId w:val="8"/>
  </w:num>
  <w:num w:numId="41" w16cid:durableId="1633638395">
    <w:abstractNumId w:val="2"/>
  </w:num>
  <w:num w:numId="42" w16cid:durableId="63721135">
    <w:abstractNumId w:val="32"/>
  </w:num>
  <w:num w:numId="43" w16cid:durableId="2054384382">
    <w:abstractNumId w:val="26"/>
  </w:num>
  <w:num w:numId="44" w16cid:durableId="20548445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45003"/>
    <w:rsid w:val="0005228B"/>
    <w:rsid w:val="0006625E"/>
    <w:rsid w:val="00080F92"/>
    <w:rsid w:val="00082741"/>
    <w:rsid w:val="000840A1"/>
    <w:rsid w:val="000901A1"/>
    <w:rsid w:val="0009182C"/>
    <w:rsid w:val="000974AD"/>
    <w:rsid w:val="000A0354"/>
    <w:rsid w:val="000A1EFD"/>
    <w:rsid w:val="000C6DA9"/>
    <w:rsid w:val="000E1F3F"/>
    <w:rsid w:val="000F4520"/>
    <w:rsid w:val="000F6AC8"/>
    <w:rsid w:val="00106C59"/>
    <w:rsid w:val="00121A07"/>
    <w:rsid w:val="00132D55"/>
    <w:rsid w:val="00134455"/>
    <w:rsid w:val="001628AE"/>
    <w:rsid w:val="00162E82"/>
    <w:rsid w:val="00163E52"/>
    <w:rsid w:val="00165C18"/>
    <w:rsid w:val="0016622B"/>
    <w:rsid w:val="00183508"/>
    <w:rsid w:val="001848BD"/>
    <w:rsid w:val="001873B5"/>
    <w:rsid w:val="001B1DFD"/>
    <w:rsid w:val="001C0A6D"/>
    <w:rsid w:val="001C230A"/>
    <w:rsid w:val="001C3868"/>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A1ED6"/>
    <w:rsid w:val="002A39B2"/>
    <w:rsid w:val="002B0B2A"/>
    <w:rsid w:val="002B46E1"/>
    <w:rsid w:val="002C446E"/>
    <w:rsid w:val="002D3FBD"/>
    <w:rsid w:val="002E03E0"/>
    <w:rsid w:val="002E7C4D"/>
    <w:rsid w:val="00301A2A"/>
    <w:rsid w:val="00324282"/>
    <w:rsid w:val="00336C5B"/>
    <w:rsid w:val="00360412"/>
    <w:rsid w:val="00376A6A"/>
    <w:rsid w:val="00393310"/>
    <w:rsid w:val="003A30C8"/>
    <w:rsid w:val="003A6116"/>
    <w:rsid w:val="003B3362"/>
    <w:rsid w:val="003B479F"/>
    <w:rsid w:val="003D4630"/>
    <w:rsid w:val="003E3690"/>
    <w:rsid w:val="00412204"/>
    <w:rsid w:val="0041423F"/>
    <w:rsid w:val="00425C1D"/>
    <w:rsid w:val="00435B4D"/>
    <w:rsid w:val="004506DA"/>
    <w:rsid w:val="0046196C"/>
    <w:rsid w:val="0047175E"/>
    <w:rsid w:val="00474023"/>
    <w:rsid w:val="00477809"/>
    <w:rsid w:val="00483B3C"/>
    <w:rsid w:val="00483CF7"/>
    <w:rsid w:val="00497B73"/>
    <w:rsid w:val="004A142B"/>
    <w:rsid w:val="004A15BA"/>
    <w:rsid w:val="004A2550"/>
    <w:rsid w:val="004B6622"/>
    <w:rsid w:val="004C0674"/>
    <w:rsid w:val="004C4D9C"/>
    <w:rsid w:val="004D7999"/>
    <w:rsid w:val="004F3537"/>
    <w:rsid w:val="004F3B49"/>
    <w:rsid w:val="00515370"/>
    <w:rsid w:val="00525898"/>
    <w:rsid w:val="00545027"/>
    <w:rsid w:val="0055600F"/>
    <w:rsid w:val="00565615"/>
    <w:rsid w:val="005664CA"/>
    <w:rsid w:val="0058266E"/>
    <w:rsid w:val="0058688A"/>
    <w:rsid w:val="00590BCD"/>
    <w:rsid w:val="00593BAE"/>
    <w:rsid w:val="005A32E4"/>
    <w:rsid w:val="005A5292"/>
    <w:rsid w:val="005A732D"/>
    <w:rsid w:val="005B23B6"/>
    <w:rsid w:val="005C5563"/>
    <w:rsid w:val="005E11CE"/>
    <w:rsid w:val="005E7D95"/>
    <w:rsid w:val="005F3AD4"/>
    <w:rsid w:val="005F4AAA"/>
    <w:rsid w:val="00604132"/>
    <w:rsid w:val="00604F1C"/>
    <w:rsid w:val="00613D53"/>
    <w:rsid w:val="006157B8"/>
    <w:rsid w:val="00617ED5"/>
    <w:rsid w:val="00622A27"/>
    <w:rsid w:val="006409F9"/>
    <w:rsid w:val="0064287C"/>
    <w:rsid w:val="006440B6"/>
    <w:rsid w:val="00650F99"/>
    <w:rsid w:val="0066572E"/>
    <w:rsid w:val="006753A9"/>
    <w:rsid w:val="00683740"/>
    <w:rsid w:val="0069510D"/>
    <w:rsid w:val="006964C0"/>
    <w:rsid w:val="006A40D0"/>
    <w:rsid w:val="006A592E"/>
    <w:rsid w:val="006A6CAF"/>
    <w:rsid w:val="006A6F49"/>
    <w:rsid w:val="006A7144"/>
    <w:rsid w:val="006B4CEC"/>
    <w:rsid w:val="006C60F3"/>
    <w:rsid w:val="006F0429"/>
    <w:rsid w:val="006F4B6C"/>
    <w:rsid w:val="006F6BBC"/>
    <w:rsid w:val="0070714C"/>
    <w:rsid w:val="00725E33"/>
    <w:rsid w:val="00745807"/>
    <w:rsid w:val="00747464"/>
    <w:rsid w:val="00754FFE"/>
    <w:rsid w:val="007779B2"/>
    <w:rsid w:val="0078116D"/>
    <w:rsid w:val="00786A91"/>
    <w:rsid w:val="00787286"/>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637D"/>
    <w:rsid w:val="008B0045"/>
    <w:rsid w:val="008B0889"/>
    <w:rsid w:val="008B67EB"/>
    <w:rsid w:val="008E0DEF"/>
    <w:rsid w:val="008E3636"/>
    <w:rsid w:val="00913BF3"/>
    <w:rsid w:val="00917950"/>
    <w:rsid w:val="00921645"/>
    <w:rsid w:val="00931D14"/>
    <w:rsid w:val="009331A5"/>
    <w:rsid w:val="00933A89"/>
    <w:rsid w:val="00944F57"/>
    <w:rsid w:val="009453E6"/>
    <w:rsid w:val="009477D5"/>
    <w:rsid w:val="00975C5B"/>
    <w:rsid w:val="00977EF7"/>
    <w:rsid w:val="00986996"/>
    <w:rsid w:val="0099077E"/>
    <w:rsid w:val="009A00A8"/>
    <w:rsid w:val="009A542A"/>
    <w:rsid w:val="009B480D"/>
    <w:rsid w:val="009B79AE"/>
    <w:rsid w:val="009C4D87"/>
    <w:rsid w:val="009C56C0"/>
    <w:rsid w:val="009D20DE"/>
    <w:rsid w:val="009F0FEB"/>
    <w:rsid w:val="009F1C70"/>
    <w:rsid w:val="009F77BA"/>
    <w:rsid w:val="00A13D4B"/>
    <w:rsid w:val="00A179F1"/>
    <w:rsid w:val="00A25CA7"/>
    <w:rsid w:val="00A3232A"/>
    <w:rsid w:val="00A343FF"/>
    <w:rsid w:val="00A366BE"/>
    <w:rsid w:val="00A466C8"/>
    <w:rsid w:val="00A47FF7"/>
    <w:rsid w:val="00A550AB"/>
    <w:rsid w:val="00A56234"/>
    <w:rsid w:val="00A72869"/>
    <w:rsid w:val="00A74A1D"/>
    <w:rsid w:val="00A942E0"/>
    <w:rsid w:val="00AA0407"/>
    <w:rsid w:val="00AA4E4E"/>
    <w:rsid w:val="00AC2BAD"/>
    <w:rsid w:val="00AE1768"/>
    <w:rsid w:val="00AE1B0F"/>
    <w:rsid w:val="00AE2597"/>
    <w:rsid w:val="00AF0CEC"/>
    <w:rsid w:val="00AF37E4"/>
    <w:rsid w:val="00B02BDD"/>
    <w:rsid w:val="00B033A1"/>
    <w:rsid w:val="00B056D9"/>
    <w:rsid w:val="00B17D1F"/>
    <w:rsid w:val="00B2161A"/>
    <w:rsid w:val="00B226BC"/>
    <w:rsid w:val="00B629E0"/>
    <w:rsid w:val="00B6696C"/>
    <w:rsid w:val="00B75824"/>
    <w:rsid w:val="00B806AC"/>
    <w:rsid w:val="00B81897"/>
    <w:rsid w:val="00B90B9D"/>
    <w:rsid w:val="00B91191"/>
    <w:rsid w:val="00B91D8E"/>
    <w:rsid w:val="00B93993"/>
    <w:rsid w:val="00BA675E"/>
    <w:rsid w:val="00BB5902"/>
    <w:rsid w:val="00BC0C37"/>
    <w:rsid w:val="00BC19D9"/>
    <w:rsid w:val="00BD37BE"/>
    <w:rsid w:val="00BF33B2"/>
    <w:rsid w:val="00BF7310"/>
    <w:rsid w:val="00C04C07"/>
    <w:rsid w:val="00C1382E"/>
    <w:rsid w:val="00C40F2C"/>
    <w:rsid w:val="00C6690B"/>
    <w:rsid w:val="00CA2777"/>
    <w:rsid w:val="00CA3AA8"/>
    <w:rsid w:val="00CB0CA0"/>
    <w:rsid w:val="00CC4274"/>
    <w:rsid w:val="00CC5359"/>
    <w:rsid w:val="00CD3889"/>
    <w:rsid w:val="00CF64FA"/>
    <w:rsid w:val="00D05BCC"/>
    <w:rsid w:val="00D13990"/>
    <w:rsid w:val="00D222B7"/>
    <w:rsid w:val="00D5166A"/>
    <w:rsid w:val="00D535FE"/>
    <w:rsid w:val="00D56F83"/>
    <w:rsid w:val="00D809FF"/>
    <w:rsid w:val="00D82E91"/>
    <w:rsid w:val="00DB1E4A"/>
    <w:rsid w:val="00DB2CDF"/>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72BD0"/>
    <w:rsid w:val="00E77756"/>
    <w:rsid w:val="00E82BFD"/>
    <w:rsid w:val="00EB1162"/>
    <w:rsid w:val="00EB3ACF"/>
    <w:rsid w:val="00EC03C5"/>
    <w:rsid w:val="00EC3882"/>
    <w:rsid w:val="00EC64BF"/>
    <w:rsid w:val="00ED4C58"/>
    <w:rsid w:val="00ED518E"/>
    <w:rsid w:val="00EF1BD7"/>
    <w:rsid w:val="00F0294F"/>
    <w:rsid w:val="00F06E69"/>
    <w:rsid w:val="00F07B09"/>
    <w:rsid w:val="00F52F31"/>
    <w:rsid w:val="00F54F60"/>
    <w:rsid w:val="00F62F2B"/>
    <w:rsid w:val="00F659FE"/>
    <w:rsid w:val="00F66FEE"/>
    <w:rsid w:val="00F72E41"/>
    <w:rsid w:val="00F8544E"/>
    <w:rsid w:val="00FA0536"/>
    <w:rsid w:val="00FC0266"/>
    <w:rsid w:val="00FC66C2"/>
    <w:rsid w:val="00FD09E6"/>
    <w:rsid w:val="00FD7ED8"/>
    <w:rsid w:val="00FE1682"/>
    <w:rsid w:val="00FE2B62"/>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idh.oas.org/annualrep/2008sp/Bolivia11426.sp.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as.org/es/cidh/decisiones/2023/BO%20SA%2011.426%20-ESP_FINAL%20WEB.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as.org/es/cidh/decisiones/2023/BO%20SA%2011.426%20-ESP_FINAL%20WEB.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3/BO%20SA%2011.426%20-ESP_FINAL%20WEB.pdf" TargetMode="External"/><Relationship Id="rId2" Type="http://schemas.openxmlformats.org/officeDocument/2006/relationships/hyperlink" Target="https://www.oas.org/es/cidh/decisiones/2023/BO%20SA%2011.426%20-ESP_FINAL%20WEB.pdf" TargetMode="External"/><Relationship Id="rId1" Type="http://schemas.openxmlformats.org/officeDocument/2006/relationships/hyperlink" Target="https://www.oas.org/es/cidh/decisiones/2023/BO%20SA%2011.426%20-ESP_FINAL%20WEB.pdf" TargetMode="External"/><Relationship Id="rId4" Type="http://schemas.openxmlformats.org/officeDocument/2006/relationships/hyperlink" Target="https://www.oas.org/es/cidh/decisiones/2023/BO%20SA%2011.426%20-ESP_FINAL%20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2.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3.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5.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2024-05-02T14:08:00Z</dcterms:created>
  <dcterms:modified xsi:type="dcterms:W3CDTF">2024-05-02T14:08:00Z</dcterms:modified>
</cp:coreProperties>
</file>